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Footertable"/>
        <w:tblW w:w="9739" w:type="dxa"/>
        <w:tblLook w:val="04A0" w:firstRow="1" w:lastRow="0" w:firstColumn="1" w:lastColumn="0" w:noHBand="0" w:noVBand="1"/>
      </w:tblPr>
      <w:tblGrid>
        <w:gridCol w:w="4869"/>
        <w:gridCol w:w="4870"/>
      </w:tblGrid>
      <w:tr w:rsidR="0077685E" w14:paraId="3E9C3685" w14:textId="77777777" w:rsidTr="00E774D0">
        <w:trPr>
          <w:trHeight w:val="267"/>
        </w:trPr>
        <w:tc>
          <w:tcPr>
            <w:tcW w:w="4869" w:type="dxa"/>
          </w:tcPr>
          <w:p w14:paraId="3E9C3682" w14:textId="0EA8381F" w:rsidR="0077685E" w:rsidRPr="0077685E" w:rsidRDefault="0077685E" w:rsidP="00E774D0">
            <w:pPr>
              <w:pStyle w:val="Footerlocation"/>
              <w:framePr w:wrap="around" w:vAnchor="page" w:hAnchor="page" w:x="1076" w:y="15823"/>
            </w:pPr>
          </w:p>
        </w:tc>
        <w:tc>
          <w:tcPr>
            <w:tcW w:w="4870" w:type="dxa"/>
          </w:tcPr>
          <w:p w14:paraId="3E9C3683" w14:textId="5F1AC337" w:rsidR="0077685E" w:rsidRDefault="0077685E" w:rsidP="00E774D0">
            <w:pPr>
              <w:pStyle w:val="Footerlocation"/>
              <w:framePr w:wrap="around" w:vAnchor="page" w:hAnchor="page" w:x="1076" w:y="15823"/>
            </w:pPr>
          </w:p>
          <w:p w14:paraId="3E9C3684" w14:textId="31943BFC" w:rsidR="00D87AD8" w:rsidRPr="0077685E" w:rsidRDefault="00D87AD8" w:rsidP="00E774D0">
            <w:pPr>
              <w:pStyle w:val="Footerlocation"/>
              <w:framePr w:wrap="around" w:vAnchor="page" w:hAnchor="page" w:x="1076" w:y="15823"/>
            </w:pPr>
          </w:p>
        </w:tc>
      </w:tr>
    </w:tbl>
    <w:p w14:paraId="3E9C3695" w14:textId="76A55FD6" w:rsidR="001250CD" w:rsidRDefault="0000133C" w:rsidP="001250CD">
      <w:pPr>
        <w:pStyle w:val="Heading1"/>
      </w:pPr>
      <w:r>
        <w:t>Glossary and key terms</w:t>
      </w:r>
    </w:p>
    <w:p w14:paraId="73C11774" w14:textId="51ADA238" w:rsidR="00735625" w:rsidRDefault="00735625" w:rsidP="007C6806">
      <w:pPr>
        <w:pStyle w:val="ListNumber"/>
        <w:numPr>
          <w:ilvl w:val="0"/>
          <w:numId w:val="0"/>
        </w:numPr>
      </w:pPr>
    </w:p>
    <w:p w14:paraId="0D351989" w14:textId="77777777" w:rsidR="00735625" w:rsidRDefault="00735625" w:rsidP="007C6806">
      <w:pPr>
        <w:pStyle w:val="ListNumber"/>
        <w:numPr>
          <w:ilvl w:val="0"/>
          <w:numId w:val="0"/>
        </w:numPr>
      </w:pPr>
    </w:p>
    <w:tbl>
      <w:tblPr>
        <w:tblW w:w="9639" w:type="dxa"/>
        <w:tblBorders>
          <w:insideH w:val="dotted" w:sz="4" w:space="0" w:color="C0C0C0"/>
        </w:tblBorders>
        <w:tblLayout w:type="fixed"/>
        <w:tblLook w:val="01E0" w:firstRow="1" w:lastRow="1" w:firstColumn="1" w:lastColumn="1" w:noHBand="0" w:noVBand="0"/>
      </w:tblPr>
      <w:tblGrid>
        <w:gridCol w:w="2552"/>
        <w:gridCol w:w="7087"/>
      </w:tblGrid>
      <w:tr w:rsidR="007B7432" w:rsidRPr="009F1FE5" w14:paraId="49E1362E" w14:textId="77777777" w:rsidTr="00C33EC5">
        <w:trPr>
          <w:trHeight w:val="532"/>
        </w:trPr>
        <w:tc>
          <w:tcPr>
            <w:tcW w:w="2552" w:type="dxa"/>
          </w:tcPr>
          <w:p w14:paraId="7A17C302" w14:textId="0C584F0B" w:rsidR="007B7432" w:rsidRDefault="00742867" w:rsidP="009A7917">
            <w:pPr>
              <w:pStyle w:val="Positionmetadata"/>
            </w:pPr>
            <w:r>
              <w:rPr>
                <w:caps w:val="0"/>
              </w:rPr>
              <w:t>CALD</w:t>
            </w:r>
          </w:p>
        </w:tc>
        <w:tc>
          <w:tcPr>
            <w:tcW w:w="7087" w:type="dxa"/>
          </w:tcPr>
          <w:p w14:paraId="7CA10F9F" w14:textId="067AE2D9" w:rsidR="007B7432" w:rsidRPr="00C33EC5" w:rsidRDefault="007B7432" w:rsidP="009A7917">
            <w:pPr>
              <w:pStyle w:val="BodyText"/>
            </w:pPr>
            <w:r>
              <w:t>Culturally and linguistically diverse</w:t>
            </w:r>
          </w:p>
        </w:tc>
      </w:tr>
      <w:tr w:rsidR="00503709" w:rsidRPr="009F1FE5" w14:paraId="4DB73063" w14:textId="77777777" w:rsidTr="00C33EC5">
        <w:trPr>
          <w:trHeight w:val="532"/>
        </w:trPr>
        <w:tc>
          <w:tcPr>
            <w:tcW w:w="2552" w:type="dxa"/>
          </w:tcPr>
          <w:p w14:paraId="6D389391" w14:textId="7F63741C" w:rsidR="00503709" w:rsidRDefault="00742867" w:rsidP="009A7917">
            <w:pPr>
              <w:pStyle w:val="Positionmetadata"/>
            </w:pPr>
            <w:r>
              <w:rPr>
                <w:caps w:val="0"/>
              </w:rPr>
              <w:t>Cancer continuum</w:t>
            </w:r>
          </w:p>
        </w:tc>
        <w:tc>
          <w:tcPr>
            <w:tcW w:w="7087" w:type="dxa"/>
          </w:tcPr>
          <w:p w14:paraId="2E82099A" w14:textId="7CDF3DE0" w:rsidR="00503709" w:rsidRPr="00C33EC5" w:rsidRDefault="00503709" w:rsidP="009A7917">
            <w:pPr>
              <w:pStyle w:val="BodyText"/>
            </w:pPr>
            <w:r w:rsidRPr="00503709">
              <w:t>The full spectrum of cancer control services from prevention and early detection efforts, through diagnosis and treatment, to rehabilitation and support services for people living with cancer and/or palliative care.</w:t>
            </w:r>
          </w:p>
        </w:tc>
      </w:tr>
      <w:tr w:rsidR="00E01151" w:rsidRPr="009F1FE5" w14:paraId="785D42AA" w14:textId="77777777" w:rsidTr="00C33EC5">
        <w:trPr>
          <w:trHeight w:val="532"/>
        </w:trPr>
        <w:tc>
          <w:tcPr>
            <w:tcW w:w="2552" w:type="dxa"/>
          </w:tcPr>
          <w:p w14:paraId="447CF2E1" w14:textId="79024F54" w:rsidR="00E01151" w:rsidRDefault="00742867" w:rsidP="009A7917">
            <w:pPr>
              <w:pStyle w:val="Positionmetadata"/>
            </w:pPr>
            <w:r>
              <w:rPr>
                <w:caps w:val="0"/>
              </w:rPr>
              <w:t>Clinical guidelines</w:t>
            </w:r>
          </w:p>
        </w:tc>
        <w:tc>
          <w:tcPr>
            <w:tcW w:w="7087" w:type="dxa"/>
          </w:tcPr>
          <w:p w14:paraId="087E8266" w14:textId="65D5E676" w:rsidR="00E01151" w:rsidRPr="005E7FDA" w:rsidRDefault="00E01151" w:rsidP="009A7917">
            <w:pPr>
              <w:pStyle w:val="BodyText"/>
            </w:pPr>
            <w:r w:rsidRPr="00E01151">
              <w:t xml:space="preserve">Clinical guidelines are a graded set of recommendations to assist clinical decision-making or service planning based on best available research. </w:t>
            </w:r>
          </w:p>
        </w:tc>
      </w:tr>
      <w:tr w:rsidR="001E005C" w:rsidRPr="009F1FE5" w14:paraId="2C876A7F" w14:textId="77777777" w:rsidTr="00C33EC5">
        <w:trPr>
          <w:trHeight w:val="532"/>
        </w:trPr>
        <w:tc>
          <w:tcPr>
            <w:tcW w:w="2552" w:type="dxa"/>
          </w:tcPr>
          <w:p w14:paraId="5C628F7E" w14:textId="67F4C859" w:rsidR="001E005C" w:rsidRDefault="00742867" w:rsidP="009A7917">
            <w:pPr>
              <w:pStyle w:val="Positionmetadata"/>
            </w:pPr>
            <w:r>
              <w:rPr>
                <w:caps w:val="0"/>
              </w:rPr>
              <w:t>Clinical pathway</w:t>
            </w:r>
          </w:p>
        </w:tc>
        <w:tc>
          <w:tcPr>
            <w:tcW w:w="7087" w:type="dxa"/>
          </w:tcPr>
          <w:p w14:paraId="4C27C398" w14:textId="42550017" w:rsidR="001E005C" w:rsidRPr="005E7FDA" w:rsidRDefault="001E005C" w:rsidP="009A7917">
            <w:pPr>
              <w:pStyle w:val="BodyText"/>
            </w:pPr>
            <w:r w:rsidRPr="001E005C">
              <w:t xml:space="preserve">A clinical pathway explicitly states that the goals and key elements of care are based on clinical guidelines, and best available evidence. It acknowledges </w:t>
            </w:r>
            <w:proofErr w:type="gramStart"/>
            <w:r w:rsidRPr="001E005C">
              <w:t>patients</w:t>
            </w:r>
            <w:proofErr w:type="gramEnd"/>
            <w:r w:rsidRPr="001E005C">
              <w:t xml:space="preserve"> expectations by facilitating communication, coordinating roles and sequencing the activities of the multidisciplinary care team, patients and their families; by documenting, monitoring and evaluating variances; and by providing the necessary resources and outcomes. The aim of a clinical pathway is to improve the quality of care, reduce risks, and increase patient satisfaction and increase efficiency in the use of resources.</w:t>
            </w:r>
          </w:p>
        </w:tc>
      </w:tr>
      <w:tr w:rsidR="005E7FDA" w:rsidRPr="009F1FE5" w14:paraId="7728D23C" w14:textId="77777777" w:rsidTr="00C33EC5">
        <w:trPr>
          <w:trHeight w:val="532"/>
        </w:trPr>
        <w:tc>
          <w:tcPr>
            <w:tcW w:w="2552" w:type="dxa"/>
          </w:tcPr>
          <w:p w14:paraId="3A9C3B7A" w14:textId="6B6F3E04" w:rsidR="005E7FDA" w:rsidRDefault="00742867" w:rsidP="009A7917">
            <w:pPr>
              <w:pStyle w:val="Positionmetadata"/>
            </w:pPr>
            <w:r>
              <w:rPr>
                <w:caps w:val="0"/>
              </w:rPr>
              <w:t>Clinical trial</w:t>
            </w:r>
          </w:p>
        </w:tc>
        <w:tc>
          <w:tcPr>
            <w:tcW w:w="7087" w:type="dxa"/>
          </w:tcPr>
          <w:p w14:paraId="16A29B34" w14:textId="5FFD264C" w:rsidR="005E7FDA" w:rsidRPr="00C33EC5" w:rsidRDefault="005E7FDA" w:rsidP="009A7917">
            <w:pPr>
              <w:pStyle w:val="BodyText"/>
            </w:pPr>
            <w:r w:rsidRPr="005E7FDA">
              <w:t>Research conducted with the patient’s permission, which usually involves a comparison of two or more treatments or diagnostic methods. The aim is to gain better understanding of the underlying disease process and/or methods to treat it. A clinical trial is conducted with rigorous scientific method for determining the effectiveness of a proposed treatment.</w:t>
            </w:r>
          </w:p>
        </w:tc>
      </w:tr>
      <w:tr w:rsidR="003D5496" w:rsidRPr="009F1FE5" w14:paraId="1E606495" w14:textId="2ED125A4" w:rsidTr="00C33EC5">
        <w:trPr>
          <w:trHeight w:val="532"/>
        </w:trPr>
        <w:tc>
          <w:tcPr>
            <w:tcW w:w="2552" w:type="dxa"/>
          </w:tcPr>
          <w:p w14:paraId="75D6B7E7" w14:textId="2FCDAE82" w:rsidR="003D5496" w:rsidRPr="009F1FE5" w:rsidRDefault="00742867" w:rsidP="009A7917">
            <w:pPr>
              <w:pStyle w:val="Positionmetadata"/>
            </w:pPr>
            <w:r>
              <w:rPr>
                <w:caps w:val="0"/>
              </w:rPr>
              <w:t>Consumer or health consumers</w:t>
            </w:r>
          </w:p>
        </w:tc>
        <w:tc>
          <w:tcPr>
            <w:tcW w:w="7087" w:type="dxa"/>
          </w:tcPr>
          <w:p w14:paraId="495A0AE2" w14:textId="189848E2" w:rsidR="003D5496" w:rsidRPr="00C33EC5" w:rsidRDefault="00A103BB" w:rsidP="009A7917">
            <w:pPr>
              <w:pStyle w:val="BodyText"/>
            </w:pPr>
            <w:r w:rsidRPr="00C33EC5">
              <w:t>P</w:t>
            </w:r>
            <w:r w:rsidRPr="00C33EC5">
              <w:t>eople who use health services, patients, families, carers and other support people. This includes those who have used a health service in the past or potential users of the service</w:t>
            </w:r>
            <w:r w:rsidRPr="00C33EC5">
              <w:t>.</w:t>
            </w:r>
          </w:p>
        </w:tc>
      </w:tr>
      <w:tr w:rsidR="003D5496" w:rsidRPr="009F1FE5" w14:paraId="764AC22C" w14:textId="18722873" w:rsidTr="00C33EC5">
        <w:trPr>
          <w:trHeight w:val="916"/>
        </w:trPr>
        <w:tc>
          <w:tcPr>
            <w:tcW w:w="2552" w:type="dxa"/>
          </w:tcPr>
          <w:p w14:paraId="72FF71DB" w14:textId="14ABCF57" w:rsidR="003D5496" w:rsidRPr="009F1FE5" w:rsidRDefault="00742867" w:rsidP="009A7917">
            <w:pPr>
              <w:pStyle w:val="Positionmetadata"/>
            </w:pPr>
            <w:r>
              <w:rPr>
                <w:caps w:val="0"/>
              </w:rPr>
              <w:t>Consumer representatives</w:t>
            </w:r>
          </w:p>
        </w:tc>
        <w:tc>
          <w:tcPr>
            <w:tcW w:w="7087" w:type="dxa"/>
          </w:tcPr>
          <w:p w14:paraId="4CBFD492" w14:textId="34AAD7AD" w:rsidR="003D5496" w:rsidRPr="00C33EC5" w:rsidRDefault="00567866" w:rsidP="009A7917">
            <w:pPr>
              <w:pStyle w:val="BodyText"/>
            </w:pPr>
            <w:r w:rsidRPr="00C33EC5">
              <w:t>S</w:t>
            </w:r>
            <w:r w:rsidRPr="00C33EC5">
              <w:t>omeone who voices consumer perspectives and takes part in the decision-making process on behalf of consumers. This person may be appropriately trained, have experience, undergo training and be supported to advocate for consumers. Alternatively, a consumer representative may be accountable to an organisation or association and represent a certain viewpoint. </w:t>
            </w:r>
          </w:p>
        </w:tc>
      </w:tr>
      <w:tr w:rsidR="003D5496" w:rsidRPr="009F1FE5" w14:paraId="7B5946A8" w14:textId="0E116229" w:rsidTr="00C33EC5">
        <w:trPr>
          <w:trHeight w:val="513"/>
        </w:trPr>
        <w:tc>
          <w:tcPr>
            <w:tcW w:w="2552" w:type="dxa"/>
          </w:tcPr>
          <w:p w14:paraId="2D0809B9" w14:textId="4E720577" w:rsidR="003D5496" w:rsidRPr="009F1FE5" w:rsidRDefault="00742867" w:rsidP="009A7917">
            <w:pPr>
              <w:pStyle w:val="Positionmetadata"/>
            </w:pPr>
            <w:r>
              <w:rPr>
                <w:caps w:val="0"/>
              </w:rPr>
              <w:lastRenderedPageBreak/>
              <w:t>Consumer engagement</w:t>
            </w:r>
          </w:p>
        </w:tc>
        <w:tc>
          <w:tcPr>
            <w:tcW w:w="7087" w:type="dxa"/>
          </w:tcPr>
          <w:p w14:paraId="2869BBE0" w14:textId="26B69166" w:rsidR="003D5496" w:rsidRPr="00C33EC5" w:rsidRDefault="0070089E" w:rsidP="009A7917">
            <w:pPr>
              <w:pStyle w:val="BodyText"/>
            </w:pPr>
            <w:r w:rsidRPr="00C33EC5">
              <w:t>U</w:t>
            </w:r>
            <w:r w:rsidRPr="00C33EC5">
              <w:t>sed to reflect an approach that involves the development of meaningful relationships with a shared focus. This is underpinned by trust and mutual respect, a commitment by all involved and active two-way dialogue. The term consumer engagement indicates action that is more than simply taking part. </w:t>
            </w:r>
          </w:p>
        </w:tc>
      </w:tr>
      <w:tr w:rsidR="003D5496" w:rsidRPr="009F1FE5" w14:paraId="1FF111A0" w14:textId="4340AA8D" w:rsidTr="00C33EC5">
        <w:trPr>
          <w:trHeight w:val="513"/>
        </w:trPr>
        <w:tc>
          <w:tcPr>
            <w:tcW w:w="2552" w:type="dxa"/>
          </w:tcPr>
          <w:p w14:paraId="2AF88368" w14:textId="0631C403" w:rsidR="003D5496" w:rsidRPr="009F1FE5" w:rsidRDefault="00742867" w:rsidP="009A7917">
            <w:pPr>
              <w:pStyle w:val="Positionmetadata"/>
            </w:pPr>
            <w:r>
              <w:rPr>
                <w:caps w:val="0"/>
              </w:rPr>
              <w:t>Community</w:t>
            </w:r>
          </w:p>
        </w:tc>
        <w:tc>
          <w:tcPr>
            <w:tcW w:w="7087" w:type="dxa"/>
          </w:tcPr>
          <w:p w14:paraId="1AD607AC" w14:textId="2CD3E22C" w:rsidR="003D5496" w:rsidRPr="00C33EC5" w:rsidRDefault="00B245A5" w:rsidP="009A7917">
            <w:pPr>
              <w:pStyle w:val="BodyText"/>
            </w:pPr>
            <w:r w:rsidRPr="00C33EC5">
              <w:t xml:space="preserve">A </w:t>
            </w:r>
            <w:r w:rsidRPr="00C33EC5">
              <w:t>group of people sharing a common interest (e.g. cultural, social, political, health, economic interests) but not necessarily a geographic association. Different types of communities are likely to have different perspectives and approaches to their involvement in research. </w:t>
            </w:r>
          </w:p>
        </w:tc>
      </w:tr>
      <w:tr w:rsidR="003D5496" w:rsidRPr="009F1FE5" w14:paraId="0DE576D3" w14:textId="023AF033" w:rsidTr="00C33EC5">
        <w:trPr>
          <w:trHeight w:val="513"/>
        </w:trPr>
        <w:tc>
          <w:tcPr>
            <w:tcW w:w="2552" w:type="dxa"/>
          </w:tcPr>
          <w:p w14:paraId="7E3DED2E" w14:textId="3AB5CE71" w:rsidR="003D5496" w:rsidRPr="009F1FE5" w:rsidRDefault="00742867" w:rsidP="009A7917">
            <w:pPr>
              <w:pStyle w:val="Positionmetadata"/>
            </w:pPr>
            <w:r>
              <w:rPr>
                <w:caps w:val="0"/>
              </w:rPr>
              <w:t>Community member</w:t>
            </w:r>
            <w:r w:rsidR="003D5496" w:rsidRPr="009F1FE5">
              <w:t xml:space="preserve"> </w:t>
            </w:r>
          </w:p>
        </w:tc>
        <w:tc>
          <w:tcPr>
            <w:tcW w:w="7087" w:type="dxa"/>
          </w:tcPr>
          <w:p w14:paraId="28C0F78C" w14:textId="40F8872F" w:rsidR="003D5496" w:rsidRPr="00C33EC5" w:rsidRDefault="009C5573" w:rsidP="009A7917">
            <w:pPr>
              <w:pStyle w:val="BodyText"/>
            </w:pPr>
            <w:r w:rsidRPr="00C33EC5">
              <w:t>A member of a community</w:t>
            </w:r>
          </w:p>
        </w:tc>
      </w:tr>
      <w:tr w:rsidR="00FD6312" w:rsidRPr="009F1FE5" w14:paraId="1B998216" w14:textId="77777777" w:rsidTr="00C33EC5">
        <w:trPr>
          <w:trHeight w:val="788"/>
        </w:trPr>
        <w:tc>
          <w:tcPr>
            <w:tcW w:w="2552" w:type="dxa"/>
          </w:tcPr>
          <w:p w14:paraId="7A15DDEF" w14:textId="6356AA7B" w:rsidR="00FD6312" w:rsidRDefault="00742867" w:rsidP="009A7917">
            <w:pPr>
              <w:pStyle w:val="Positionmetadata"/>
            </w:pPr>
            <w:r>
              <w:rPr>
                <w:caps w:val="0"/>
              </w:rPr>
              <w:t>CUP</w:t>
            </w:r>
          </w:p>
        </w:tc>
        <w:tc>
          <w:tcPr>
            <w:tcW w:w="7087" w:type="dxa"/>
          </w:tcPr>
          <w:p w14:paraId="33F00FC3" w14:textId="464E01C9" w:rsidR="00FD6312" w:rsidRPr="00271A49" w:rsidRDefault="00FD6312" w:rsidP="009A7917">
            <w:pPr>
              <w:pStyle w:val="BodyText"/>
              <w:rPr>
                <w:lang w:val="en-US"/>
              </w:rPr>
            </w:pPr>
            <w:r>
              <w:rPr>
                <w:lang w:val="en-US"/>
              </w:rPr>
              <w:t>Cancer of unknown primary</w:t>
            </w:r>
          </w:p>
        </w:tc>
      </w:tr>
      <w:tr w:rsidR="0005442A" w:rsidRPr="009F1FE5" w14:paraId="73E9A6EE" w14:textId="77777777" w:rsidTr="00C33EC5">
        <w:trPr>
          <w:trHeight w:val="788"/>
        </w:trPr>
        <w:tc>
          <w:tcPr>
            <w:tcW w:w="2552" w:type="dxa"/>
          </w:tcPr>
          <w:p w14:paraId="26BD739E" w14:textId="3FAA4E9B" w:rsidR="0005442A" w:rsidRDefault="00742867" w:rsidP="009A7917">
            <w:pPr>
              <w:pStyle w:val="Positionmetadata"/>
            </w:pPr>
            <w:r>
              <w:rPr>
                <w:caps w:val="0"/>
              </w:rPr>
              <w:t>Epidemiology</w:t>
            </w:r>
          </w:p>
        </w:tc>
        <w:tc>
          <w:tcPr>
            <w:tcW w:w="7087" w:type="dxa"/>
          </w:tcPr>
          <w:p w14:paraId="4D092BFF" w14:textId="058E4FD8" w:rsidR="0005442A" w:rsidRPr="0005442A" w:rsidRDefault="0005442A" w:rsidP="009A7917">
            <w:pPr>
              <w:pStyle w:val="BodyText"/>
            </w:pPr>
            <w:r w:rsidRPr="0005442A">
              <w:t>The study of the patterns and causes of health and disease in populations, and the application of this study to improve health.</w:t>
            </w:r>
          </w:p>
        </w:tc>
      </w:tr>
      <w:tr w:rsidR="00234D32" w:rsidRPr="009F1FE5" w14:paraId="36BB7FA8" w14:textId="77777777" w:rsidTr="00C33EC5">
        <w:trPr>
          <w:trHeight w:val="788"/>
        </w:trPr>
        <w:tc>
          <w:tcPr>
            <w:tcW w:w="2552" w:type="dxa"/>
          </w:tcPr>
          <w:p w14:paraId="2910D202" w14:textId="58733F38" w:rsidR="00234D32" w:rsidRDefault="00234D32" w:rsidP="009A7917">
            <w:pPr>
              <w:pStyle w:val="Positionmetadata"/>
              <w:rPr>
                <w:caps w:val="0"/>
              </w:rPr>
            </w:pPr>
            <w:r>
              <w:rPr>
                <w:caps w:val="0"/>
              </w:rPr>
              <w:t>Epithelium</w:t>
            </w:r>
          </w:p>
        </w:tc>
        <w:tc>
          <w:tcPr>
            <w:tcW w:w="7087" w:type="dxa"/>
          </w:tcPr>
          <w:p w14:paraId="05555C1D" w14:textId="6D910411" w:rsidR="00234D32" w:rsidRPr="00234D32" w:rsidRDefault="00234D32" w:rsidP="009A7917">
            <w:pPr>
              <w:pStyle w:val="BodyText"/>
            </w:pPr>
            <w:r w:rsidRPr="00234D32">
              <w:t>The cells that make up the internal and external surfaces of the body, for example, skin, inside of lungs, ovaries.</w:t>
            </w:r>
          </w:p>
        </w:tc>
      </w:tr>
      <w:tr w:rsidR="00234D32" w:rsidRPr="009F1FE5" w14:paraId="3C52D896" w14:textId="77777777" w:rsidTr="00C33EC5">
        <w:trPr>
          <w:trHeight w:val="788"/>
        </w:trPr>
        <w:tc>
          <w:tcPr>
            <w:tcW w:w="2552" w:type="dxa"/>
          </w:tcPr>
          <w:p w14:paraId="5BDC2148" w14:textId="688A8B47" w:rsidR="00234D32" w:rsidRDefault="00234D32" w:rsidP="009A7917">
            <w:pPr>
              <w:pStyle w:val="Positionmetadata"/>
              <w:rPr>
                <w:caps w:val="0"/>
              </w:rPr>
            </w:pPr>
            <w:r>
              <w:rPr>
                <w:caps w:val="0"/>
              </w:rPr>
              <w:t>Familial</w:t>
            </w:r>
          </w:p>
        </w:tc>
        <w:tc>
          <w:tcPr>
            <w:tcW w:w="7087" w:type="dxa"/>
          </w:tcPr>
          <w:p w14:paraId="26F5BCA5" w14:textId="475A98A5" w:rsidR="00234D32" w:rsidRPr="00234D32" w:rsidRDefault="00234D32" w:rsidP="009A7917">
            <w:pPr>
              <w:pStyle w:val="BodyText"/>
            </w:pPr>
            <w:r w:rsidRPr="00234D32">
              <w:t>Indicates that a condition that can be inherited from through the generations of a family through one or more genes.</w:t>
            </w:r>
          </w:p>
        </w:tc>
      </w:tr>
      <w:tr w:rsidR="00422287" w:rsidRPr="009F1FE5" w14:paraId="0DCEFCAE" w14:textId="77777777" w:rsidTr="00C33EC5">
        <w:trPr>
          <w:trHeight w:val="788"/>
        </w:trPr>
        <w:tc>
          <w:tcPr>
            <w:tcW w:w="2552" w:type="dxa"/>
          </w:tcPr>
          <w:p w14:paraId="1DEBFA43" w14:textId="3CEBC00C" w:rsidR="00422287" w:rsidRDefault="00742867" w:rsidP="009A7917">
            <w:pPr>
              <w:pStyle w:val="Positionmetadata"/>
            </w:pPr>
            <w:r>
              <w:rPr>
                <w:caps w:val="0"/>
              </w:rPr>
              <w:t>Genomics</w:t>
            </w:r>
          </w:p>
        </w:tc>
        <w:tc>
          <w:tcPr>
            <w:tcW w:w="7087" w:type="dxa"/>
          </w:tcPr>
          <w:p w14:paraId="00EC8C4C" w14:textId="7DD6A310" w:rsidR="00422287" w:rsidRPr="00C33EC5" w:rsidRDefault="00271A49" w:rsidP="009A7917">
            <w:pPr>
              <w:pStyle w:val="BodyText"/>
            </w:pPr>
            <w:r w:rsidRPr="00271A49">
              <w:rPr>
                <w:lang w:val="en-US"/>
              </w:rPr>
              <w:t xml:space="preserve">Genomics is the study of genes and what they do. </w:t>
            </w:r>
            <w:r w:rsidR="0037211C" w:rsidRPr="0037211C">
              <w:t>Research has shown that cancers are caused by gene mutations, which then cause abnormal cell growth or resistance to standard cancer treatments. Researchers study genes to understand why some people have cancer and why some people do not</w:t>
            </w:r>
            <w:r>
              <w:t>, and to develop better treatments.</w:t>
            </w:r>
            <w:r w:rsidR="0037211C" w:rsidRPr="0037211C">
              <w:t xml:space="preserve"> </w:t>
            </w:r>
          </w:p>
        </w:tc>
      </w:tr>
      <w:tr w:rsidR="003D5496" w:rsidRPr="009F1FE5" w14:paraId="017DDEC8" w14:textId="2568A0A3" w:rsidTr="00C33EC5">
        <w:trPr>
          <w:trHeight w:val="788"/>
        </w:trPr>
        <w:tc>
          <w:tcPr>
            <w:tcW w:w="2552" w:type="dxa"/>
          </w:tcPr>
          <w:p w14:paraId="370C42A3" w14:textId="3AE226DC" w:rsidR="003D5496" w:rsidRPr="009F1FE5" w:rsidRDefault="00742867" w:rsidP="009A7917">
            <w:pPr>
              <w:pStyle w:val="Positionmetadata"/>
            </w:pPr>
            <w:r>
              <w:rPr>
                <w:caps w:val="0"/>
              </w:rPr>
              <w:t>Health care</w:t>
            </w:r>
          </w:p>
        </w:tc>
        <w:tc>
          <w:tcPr>
            <w:tcW w:w="7087" w:type="dxa"/>
          </w:tcPr>
          <w:p w14:paraId="6C6533B7" w14:textId="6F6ECE19" w:rsidR="003D5496" w:rsidRPr="00C33EC5" w:rsidRDefault="0060313A" w:rsidP="009A7917">
            <w:pPr>
              <w:pStyle w:val="BodyText"/>
            </w:pPr>
            <w:r w:rsidRPr="00C33EC5">
              <w:t>D</w:t>
            </w:r>
            <w:r w:rsidRPr="00C33EC5">
              <w:t>escribes services provided to individuals or communities to promote, maintain, monitor, or restore health. The health care system has multiple components including health promotion, primary health care, specialist services and hospitals.</w:t>
            </w:r>
          </w:p>
        </w:tc>
      </w:tr>
      <w:tr w:rsidR="001C5003" w:rsidRPr="009F1FE5" w14:paraId="275FA450" w14:textId="77777777" w:rsidTr="00C33EC5">
        <w:trPr>
          <w:trHeight w:val="531"/>
        </w:trPr>
        <w:tc>
          <w:tcPr>
            <w:tcW w:w="2552" w:type="dxa"/>
          </w:tcPr>
          <w:p w14:paraId="598EEFFB" w14:textId="3003C455" w:rsidR="001C5003" w:rsidRDefault="001C5003" w:rsidP="009A7917">
            <w:pPr>
              <w:pStyle w:val="Positionmetadata"/>
              <w:rPr>
                <w:caps w:val="0"/>
              </w:rPr>
            </w:pPr>
            <w:r>
              <w:rPr>
                <w:caps w:val="0"/>
              </w:rPr>
              <w:t>Metas</w:t>
            </w:r>
            <w:r w:rsidR="0013770E">
              <w:rPr>
                <w:caps w:val="0"/>
              </w:rPr>
              <w:t>tasis</w:t>
            </w:r>
          </w:p>
        </w:tc>
        <w:tc>
          <w:tcPr>
            <w:tcW w:w="7087" w:type="dxa"/>
          </w:tcPr>
          <w:p w14:paraId="5B99690B" w14:textId="6BF5FE6B" w:rsidR="001C5003" w:rsidRPr="009A7917" w:rsidRDefault="0013770E" w:rsidP="009A7917">
            <w:pPr>
              <w:pStyle w:val="BodyText"/>
            </w:pPr>
            <w:r w:rsidRPr="0013770E">
              <w:t>Also known as a secondary cancer. A cancer that has spread from another part of the body.</w:t>
            </w:r>
          </w:p>
        </w:tc>
      </w:tr>
      <w:tr w:rsidR="00001293" w:rsidRPr="009F1FE5" w14:paraId="72FA5897" w14:textId="77777777" w:rsidTr="00C33EC5">
        <w:trPr>
          <w:trHeight w:val="531"/>
        </w:trPr>
        <w:tc>
          <w:tcPr>
            <w:tcW w:w="2552" w:type="dxa"/>
          </w:tcPr>
          <w:p w14:paraId="75F88F22" w14:textId="2B58BE8D" w:rsidR="00001293" w:rsidRDefault="00001293" w:rsidP="009A7917">
            <w:pPr>
              <w:pStyle w:val="Positionmetadata"/>
              <w:rPr>
                <w:caps w:val="0"/>
              </w:rPr>
            </w:pPr>
            <w:r>
              <w:rPr>
                <w:caps w:val="0"/>
              </w:rPr>
              <w:t>Molecular tumour board</w:t>
            </w:r>
            <w:r w:rsidR="00F70F24">
              <w:rPr>
                <w:caps w:val="0"/>
              </w:rPr>
              <w:t xml:space="preserve"> (MTB)</w:t>
            </w:r>
          </w:p>
        </w:tc>
        <w:tc>
          <w:tcPr>
            <w:tcW w:w="7087" w:type="dxa"/>
          </w:tcPr>
          <w:p w14:paraId="5B980B67" w14:textId="09581B1C" w:rsidR="00001293" w:rsidRPr="009A7917" w:rsidRDefault="00001293" w:rsidP="009A7917">
            <w:pPr>
              <w:pStyle w:val="BodyText"/>
            </w:pPr>
            <w:r w:rsidRPr="00001293">
              <w:t xml:space="preserve">A treatment planning approach in which </w:t>
            </w:r>
            <w:proofErr w:type="gramStart"/>
            <w:r w:rsidRPr="00001293">
              <w:t>a number of</w:t>
            </w:r>
            <w:proofErr w:type="gramEnd"/>
            <w:r w:rsidRPr="00001293">
              <w:t xml:space="preserve"> doctors who are experts in different specialties (disciplines) review and discuss the medical condition and treatment options of a patient. Similar to a multidisciplinary team </w:t>
            </w:r>
            <w:proofErr w:type="gramStart"/>
            <w:r w:rsidRPr="00001293">
              <w:t>meeting, but</w:t>
            </w:r>
            <w:proofErr w:type="gramEnd"/>
            <w:r w:rsidRPr="00001293">
              <w:t xml:space="preserve"> tends not to consider the patient’s psychological and social needs</w:t>
            </w:r>
            <w:r>
              <w:t xml:space="preserve">. </w:t>
            </w:r>
            <w:r w:rsidRPr="00444AF8">
              <w:t xml:space="preserve">(Also see </w:t>
            </w:r>
            <w:r>
              <w:t>MDM – multidisciplinary team meeting</w:t>
            </w:r>
            <w:r w:rsidRPr="00444AF8">
              <w:t>)</w:t>
            </w:r>
          </w:p>
        </w:tc>
      </w:tr>
      <w:tr w:rsidR="00F010BA" w:rsidRPr="009F1FE5" w14:paraId="1B2BB9DD" w14:textId="77777777" w:rsidTr="00C33EC5">
        <w:trPr>
          <w:trHeight w:val="531"/>
        </w:trPr>
        <w:tc>
          <w:tcPr>
            <w:tcW w:w="2552" w:type="dxa"/>
          </w:tcPr>
          <w:p w14:paraId="2CC41EC6" w14:textId="4CF13B00" w:rsidR="00F010BA" w:rsidRDefault="00742867" w:rsidP="009A7917">
            <w:pPr>
              <w:pStyle w:val="Positionmetadata"/>
            </w:pPr>
            <w:r>
              <w:rPr>
                <w:caps w:val="0"/>
              </w:rPr>
              <w:t>MRFF</w:t>
            </w:r>
          </w:p>
        </w:tc>
        <w:tc>
          <w:tcPr>
            <w:tcW w:w="7087" w:type="dxa"/>
          </w:tcPr>
          <w:p w14:paraId="7ADD69AB" w14:textId="5EB26B27" w:rsidR="00F010BA" w:rsidRPr="009A7917" w:rsidRDefault="009A7917" w:rsidP="009A7917">
            <w:pPr>
              <w:pStyle w:val="BodyText"/>
            </w:pPr>
            <w:r w:rsidRPr="009A7917">
              <w:t xml:space="preserve">The </w:t>
            </w:r>
            <w:r w:rsidR="00F010BA" w:rsidRPr="009A7917">
              <w:t>Medical Research Future Fund</w:t>
            </w:r>
            <w:r w:rsidRPr="009A7917">
              <w:t xml:space="preserve"> </w:t>
            </w:r>
            <w:r w:rsidRPr="009A7917">
              <w:t>(MRFF) is a $20 billion long-term investment supporting Australian health and medical research. The MRFF aims to transform health and medical research and innovation to improve lives, build the economy and contribute to health system sustainability.</w:t>
            </w:r>
          </w:p>
        </w:tc>
      </w:tr>
      <w:tr w:rsidR="00444AF8" w:rsidRPr="009F1FE5" w14:paraId="1196091C" w14:textId="77777777" w:rsidTr="00C33EC5">
        <w:trPr>
          <w:trHeight w:val="531"/>
        </w:trPr>
        <w:tc>
          <w:tcPr>
            <w:tcW w:w="2552" w:type="dxa"/>
          </w:tcPr>
          <w:p w14:paraId="7BBB9691" w14:textId="3EB7BF42" w:rsidR="00444AF8" w:rsidRPr="00444AF8" w:rsidRDefault="00444AF8" w:rsidP="00444AF8">
            <w:pPr>
              <w:pStyle w:val="Positionmetadata"/>
            </w:pPr>
            <w:r w:rsidRPr="00444AF8">
              <w:rPr>
                <w:bCs/>
                <w:caps w:val="0"/>
              </w:rPr>
              <w:lastRenderedPageBreak/>
              <w:t>Multidisciplinary team meeting</w:t>
            </w:r>
            <w:r>
              <w:rPr>
                <w:bCs/>
                <w:caps w:val="0"/>
              </w:rPr>
              <w:t xml:space="preserve"> (MDM)</w:t>
            </w:r>
          </w:p>
          <w:p w14:paraId="09A14BE5" w14:textId="77777777" w:rsidR="00444AF8" w:rsidRDefault="00444AF8" w:rsidP="009A7917">
            <w:pPr>
              <w:pStyle w:val="Positionmetadata"/>
              <w:rPr>
                <w:caps w:val="0"/>
              </w:rPr>
            </w:pPr>
          </w:p>
        </w:tc>
        <w:tc>
          <w:tcPr>
            <w:tcW w:w="7087" w:type="dxa"/>
          </w:tcPr>
          <w:p w14:paraId="0BE95607" w14:textId="2E1D1207" w:rsidR="00444AF8" w:rsidRPr="00826621" w:rsidRDefault="00444AF8" w:rsidP="009A7917">
            <w:pPr>
              <w:pStyle w:val="BodyText"/>
            </w:pPr>
            <w:r w:rsidRPr="00444AF8">
              <w:t xml:space="preserve">Multidisciplinary meetings are a regularly scheduled meeting of core and invited team members for the purpose of prospective treatment and care planning of newly diagnosed cancer patients as well as those requiring review of treatment plans or palliative care. (Also see </w:t>
            </w:r>
            <w:r w:rsidR="001B4652">
              <w:t xml:space="preserve">MTB – Molecular </w:t>
            </w:r>
            <w:r w:rsidRPr="00444AF8">
              <w:t>Tumour Board)</w:t>
            </w:r>
          </w:p>
        </w:tc>
      </w:tr>
      <w:tr w:rsidR="001B4652" w:rsidRPr="009F1FE5" w14:paraId="6E0E2F89" w14:textId="77777777" w:rsidTr="00C33EC5">
        <w:trPr>
          <w:trHeight w:val="531"/>
        </w:trPr>
        <w:tc>
          <w:tcPr>
            <w:tcW w:w="2552" w:type="dxa"/>
          </w:tcPr>
          <w:p w14:paraId="5D938EE9" w14:textId="1CAFE492" w:rsidR="001B4652" w:rsidRPr="001B4652" w:rsidRDefault="001B4652" w:rsidP="009A7917">
            <w:pPr>
              <w:pStyle w:val="Positionmetadata"/>
            </w:pPr>
            <w:r w:rsidRPr="001B4652">
              <w:rPr>
                <w:bCs/>
                <w:caps w:val="0"/>
              </w:rPr>
              <w:t>Neoadjuvant therapy </w:t>
            </w:r>
          </w:p>
        </w:tc>
        <w:tc>
          <w:tcPr>
            <w:tcW w:w="7087" w:type="dxa"/>
          </w:tcPr>
          <w:p w14:paraId="00DE5FCF" w14:textId="01E10AE2" w:rsidR="001B4652" w:rsidRPr="00826621" w:rsidRDefault="00E73857" w:rsidP="009A7917">
            <w:pPr>
              <w:pStyle w:val="BodyText"/>
            </w:pPr>
            <w:r w:rsidRPr="00E73857">
              <w:t>Treatment given before the main treatment to increase the chances of a cure.</w:t>
            </w:r>
          </w:p>
        </w:tc>
      </w:tr>
      <w:tr w:rsidR="00F010BA" w:rsidRPr="009F1FE5" w14:paraId="65EF021D" w14:textId="77777777" w:rsidTr="00C33EC5">
        <w:trPr>
          <w:trHeight w:val="531"/>
        </w:trPr>
        <w:tc>
          <w:tcPr>
            <w:tcW w:w="2552" w:type="dxa"/>
          </w:tcPr>
          <w:p w14:paraId="623894FF" w14:textId="2B50DA0B" w:rsidR="00F010BA" w:rsidRDefault="00742867" w:rsidP="009A7917">
            <w:pPr>
              <w:pStyle w:val="Positionmetadata"/>
            </w:pPr>
            <w:r>
              <w:rPr>
                <w:caps w:val="0"/>
              </w:rPr>
              <w:t>NHMRC</w:t>
            </w:r>
          </w:p>
        </w:tc>
        <w:tc>
          <w:tcPr>
            <w:tcW w:w="7087" w:type="dxa"/>
          </w:tcPr>
          <w:p w14:paraId="2FB8F72B" w14:textId="7ED3AFED" w:rsidR="00F010BA" w:rsidRPr="00826621" w:rsidRDefault="00826621" w:rsidP="009A7917">
            <w:pPr>
              <w:pStyle w:val="BodyText"/>
            </w:pPr>
            <w:r w:rsidRPr="00826621">
              <w:t xml:space="preserve">The </w:t>
            </w:r>
            <w:r w:rsidR="00F010BA" w:rsidRPr="00826621">
              <w:t>National Health and Medical Research Council</w:t>
            </w:r>
            <w:r w:rsidRPr="00826621">
              <w:t xml:space="preserve"> (NHMRC) </w:t>
            </w:r>
            <w:r w:rsidRPr="00826621">
              <w:t>funds high quality health and medical research to build research capability, support researchers, encourage the translation of research into better health outcomes and promote the highest ethical standards for health and medical research.</w:t>
            </w:r>
          </w:p>
        </w:tc>
      </w:tr>
      <w:tr w:rsidR="005D22C9" w:rsidRPr="009F1FE5" w14:paraId="00F79743" w14:textId="77777777" w:rsidTr="00C33EC5">
        <w:trPr>
          <w:trHeight w:val="531"/>
        </w:trPr>
        <w:tc>
          <w:tcPr>
            <w:tcW w:w="2552" w:type="dxa"/>
          </w:tcPr>
          <w:p w14:paraId="69DC4983" w14:textId="666A44EF" w:rsidR="005D22C9" w:rsidRDefault="005D22C9" w:rsidP="009A7917">
            <w:pPr>
              <w:pStyle w:val="Positionmetadata"/>
              <w:rPr>
                <w:caps w:val="0"/>
              </w:rPr>
            </w:pPr>
            <w:r>
              <w:rPr>
                <w:caps w:val="0"/>
              </w:rPr>
              <w:t>Pathologist</w:t>
            </w:r>
          </w:p>
        </w:tc>
        <w:tc>
          <w:tcPr>
            <w:tcW w:w="7087" w:type="dxa"/>
          </w:tcPr>
          <w:p w14:paraId="42FD0D64" w14:textId="0D1C2AD1" w:rsidR="005D22C9" w:rsidRPr="00C33EC5" w:rsidRDefault="005D22C9" w:rsidP="009A7917">
            <w:pPr>
              <w:pStyle w:val="BodyText"/>
            </w:pPr>
            <w:r w:rsidRPr="005D22C9">
              <w:t>A person who studies diseases to understand their nature and cause. Pathologists examine biopsies under a microscope to diagnose cancer and other diseases.</w:t>
            </w:r>
          </w:p>
        </w:tc>
      </w:tr>
      <w:tr w:rsidR="00880E72" w:rsidRPr="009F1FE5" w14:paraId="2BCAAD22" w14:textId="77777777" w:rsidTr="00C33EC5">
        <w:trPr>
          <w:trHeight w:val="531"/>
        </w:trPr>
        <w:tc>
          <w:tcPr>
            <w:tcW w:w="2552" w:type="dxa"/>
          </w:tcPr>
          <w:p w14:paraId="0AF036B8" w14:textId="5719D849" w:rsidR="00880E72" w:rsidRDefault="00880E72" w:rsidP="009A7917">
            <w:pPr>
              <w:pStyle w:val="Positionmetadata"/>
              <w:rPr>
                <w:caps w:val="0"/>
              </w:rPr>
            </w:pPr>
            <w:r>
              <w:rPr>
                <w:caps w:val="0"/>
              </w:rPr>
              <w:t>PBS</w:t>
            </w:r>
          </w:p>
        </w:tc>
        <w:tc>
          <w:tcPr>
            <w:tcW w:w="7087" w:type="dxa"/>
          </w:tcPr>
          <w:p w14:paraId="3C6FE5AB" w14:textId="6DAFFB36" w:rsidR="00880E72" w:rsidRPr="00C33EC5" w:rsidRDefault="00880E72" w:rsidP="009A7917">
            <w:pPr>
              <w:pStyle w:val="BodyText"/>
            </w:pPr>
            <w:r w:rsidRPr="00880E72">
              <w:t>Pharmaceutical Benefits Scheme</w:t>
            </w:r>
          </w:p>
        </w:tc>
      </w:tr>
      <w:tr w:rsidR="00880E72" w:rsidRPr="009F1FE5" w14:paraId="0B49705E" w14:textId="77777777" w:rsidTr="00C33EC5">
        <w:trPr>
          <w:trHeight w:val="531"/>
        </w:trPr>
        <w:tc>
          <w:tcPr>
            <w:tcW w:w="2552" w:type="dxa"/>
          </w:tcPr>
          <w:p w14:paraId="7A0C2C02" w14:textId="1CD7D953" w:rsidR="00880E72" w:rsidRDefault="00880E72" w:rsidP="009A7917">
            <w:pPr>
              <w:pStyle w:val="Positionmetadata"/>
              <w:rPr>
                <w:caps w:val="0"/>
              </w:rPr>
            </w:pPr>
            <w:r>
              <w:rPr>
                <w:caps w:val="0"/>
              </w:rPr>
              <w:t>People affected by cancer</w:t>
            </w:r>
          </w:p>
        </w:tc>
        <w:tc>
          <w:tcPr>
            <w:tcW w:w="7087" w:type="dxa"/>
          </w:tcPr>
          <w:p w14:paraId="400141E3" w14:textId="754D6C4D" w:rsidR="00880E72" w:rsidRPr="00C33EC5" w:rsidRDefault="00880E72" w:rsidP="009A7917">
            <w:pPr>
              <w:pStyle w:val="BodyText"/>
            </w:pPr>
            <w:r w:rsidRPr="00880E72">
              <w:t>People who have had a personal experience of cancer, including patients, people living with cancer, cancer survivors, caregivers and family members.</w:t>
            </w:r>
          </w:p>
        </w:tc>
      </w:tr>
      <w:tr w:rsidR="00FC0BB1" w:rsidRPr="009F1FE5" w14:paraId="5BF64E93" w14:textId="77777777" w:rsidTr="00C33EC5">
        <w:trPr>
          <w:trHeight w:val="531"/>
        </w:trPr>
        <w:tc>
          <w:tcPr>
            <w:tcW w:w="2552" w:type="dxa"/>
          </w:tcPr>
          <w:p w14:paraId="38EBD272" w14:textId="07E73761" w:rsidR="00FC0BB1" w:rsidRDefault="00FC0BB1" w:rsidP="009A7917">
            <w:pPr>
              <w:pStyle w:val="Positionmetadata"/>
              <w:rPr>
                <w:caps w:val="0"/>
              </w:rPr>
            </w:pPr>
            <w:r>
              <w:rPr>
                <w:caps w:val="0"/>
              </w:rPr>
              <w:t xml:space="preserve">Prevalence </w:t>
            </w:r>
          </w:p>
        </w:tc>
        <w:tc>
          <w:tcPr>
            <w:tcW w:w="7087" w:type="dxa"/>
          </w:tcPr>
          <w:p w14:paraId="49F520C0" w14:textId="3952C0FA" w:rsidR="00FC0BB1" w:rsidRPr="00C33EC5" w:rsidRDefault="00FC0BB1" w:rsidP="009A7917">
            <w:pPr>
              <w:pStyle w:val="BodyText"/>
            </w:pPr>
            <w:r w:rsidRPr="00FC0BB1">
              <w:t>The number or proportion (of cases, instances, etc) present in a population at a given time.</w:t>
            </w:r>
          </w:p>
        </w:tc>
      </w:tr>
      <w:tr w:rsidR="00FC0BB1" w:rsidRPr="009F1FE5" w14:paraId="255F0342" w14:textId="77777777" w:rsidTr="00C33EC5">
        <w:trPr>
          <w:trHeight w:val="531"/>
        </w:trPr>
        <w:tc>
          <w:tcPr>
            <w:tcW w:w="2552" w:type="dxa"/>
          </w:tcPr>
          <w:p w14:paraId="7DD0A0B7" w14:textId="4BDE091F" w:rsidR="00FC0BB1" w:rsidRDefault="00FC0BB1" w:rsidP="009A7917">
            <w:pPr>
              <w:pStyle w:val="Positionmetadata"/>
              <w:rPr>
                <w:caps w:val="0"/>
              </w:rPr>
            </w:pPr>
            <w:r>
              <w:rPr>
                <w:caps w:val="0"/>
              </w:rPr>
              <w:t>Prevention</w:t>
            </w:r>
          </w:p>
        </w:tc>
        <w:tc>
          <w:tcPr>
            <w:tcW w:w="7087" w:type="dxa"/>
          </w:tcPr>
          <w:p w14:paraId="47B27C80" w14:textId="6ECCC8B9" w:rsidR="00FC0BB1" w:rsidRPr="00FC0BB1" w:rsidRDefault="00FC0BB1" w:rsidP="009A7917">
            <w:pPr>
              <w:pStyle w:val="BodyText"/>
            </w:pPr>
            <w:r w:rsidRPr="00FC0BB1">
              <w:t>Action to reduce or eliminate the onset, causes, complications or recurrence of disease or ill health.</w:t>
            </w:r>
          </w:p>
        </w:tc>
      </w:tr>
      <w:tr w:rsidR="00FC0BB1" w:rsidRPr="009F1FE5" w14:paraId="2FD0B6EF" w14:textId="77777777" w:rsidTr="00C33EC5">
        <w:trPr>
          <w:trHeight w:val="531"/>
        </w:trPr>
        <w:tc>
          <w:tcPr>
            <w:tcW w:w="2552" w:type="dxa"/>
          </w:tcPr>
          <w:p w14:paraId="1E183551" w14:textId="75F9D518" w:rsidR="00FC0BB1" w:rsidRDefault="00FC0BB1" w:rsidP="009A7917">
            <w:pPr>
              <w:pStyle w:val="Positionmetadata"/>
              <w:rPr>
                <w:caps w:val="0"/>
              </w:rPr>
            </w:pPr>
            <w:r>
              <w:rPr>
                <w:caps w:val="0"/>
              </w:rPr>
              <w:t>Primary care</w:t>
            </w:r>
          </w:p>
        </w:tc>
        <w:tc>
          <w:tcPr>
            <w:tcW w:w="7087" w:type="dxa"/>
          </w:tcPr>
          <w:p w14:paraId="21C2234B" w14:textId="7C57533E" w:rsidR="00FC0BB1" w:rsidRPr="00C33EC5" w:rsidRDefault="00FC0BB1" w:rsidP="009A7917">
            <w:pPr>
              <w:pStyle w:val="BodyText"/>
            </w:pPr>
            <w:r w:rsidRPr="00FC0BB1">
              <w:t>Primary Care is a sub-component of the broader primary health care system. Primary care is provided by a health care professional who is a client's first point of entry into the health system (for example: a general practitioner, practice nurse, community nurse, or community based allied health worker). Primary care is practised widely in nursing and allied health, but predominately in general practice.</w:t>
            </w:r>
          </w:p>
        </w:tc>
      </w:tr>
      <w:tr w:rsidR="00480CC2" w:rsidRPr="009F1FE5" w14:paraId="24BE0931" w14:textId="77777777" w:rsidTr="00C33EC5">
        <w:trPr>
          <w:trHeight w:val="531"/>
        </w:trPr>
        <w:tc>
          <w:tcPr>
            <w:tcW w:w="2552" w:type="dxa"/>
          </w:tcPr>
          <w:p w14:paraId="465B3FBB" w14:textId="3BCDE917" w:rsidR="00480CC2" w:rsidRDefault="00480CC2" w:rsidP="009A7917">
            <w:pPr>
              <w:pStyle w:val="Positionmetadata"/>
              <w:rPr>
                <w:caps w:val="0"/>
              </w:rPr>
            </w:pPr>
            <w:r>
              <w:rPr>
                <w:caps w:val="0"/>
              </w:rPr>
              <w:t>Priority driven research</w:t>
            </w:r>
          </w:p>
        </w:tc>
        <w:tc>
          <w:tcPr>
            <w:tcW w:w="7087" w:type="dxa"/>
          </w:tcPr>
          <w:p w14:paraId="35A8B895" w14:textId="6C306DBD" w:rsidR="00480CC2" w:rsidRPr="00C33EC5" w:rsidRDefault="00480CC2" w:rsidP="009A7917">
            <w:pPr>
              <w:pStyle w:val="BodyText"/>
            </w:pPr>
            <w:r w:rsidRPr="00480CC2">
              <w:t xml:space="preserve">Research undertaken in identified priority areas.  An area might be identified as a priority for a variety of reasons, including a relative lack of research in the area in comparison to the impact that the </w:t>
            </w:r>
            <w:proofErr w:type="gramStart"/>
            <w:r w:rsidRPr="00480CC2">
              <w:t>particular cancer</w:t>
            </w:r>
            <w:proofErr w:type="gramEnd"/>
            <w:r w:rsidRPr="00480CC2">
              <w:t xml:space="preserve"> has on society.</w:t>
            </w:r>
          </w:p>
        </w:tc>
      </w:tr>
      <w:tr w:rsidR="00DC58D3" w:rsidRPr="009F1FE5" w14:paraId="6037E346" w14:textId="77777777" w:rsidTr="00C33EC5">
        <w:trPr>
          <w:trHeight w:val="531"/>
        </w:trPr>
        <w:tc>
          <w:tcPr>
            <w:tcW w:w="2552" w:type="dxa"/>
          </w:tcPr>
          <w:p w14:paraId="66661B74" w14:textId="09A07361" w:rsidR="00DC58D3" w:rsidRDefault="00DC58D3" w:rsidP="009A7917">
            <w:pPr>
              <w:pStyle w:val="Positionmetadata"/>
              <w:rPr>
                <w:caps w:val="0"/>
              </w:rPr>
            </w:pPr>
            <w:r>
              <w:rPr>
                <w:caps w:val="0"/>
              </w:rPr>
              <w:t>Psycho-oncology</w:t>
            </w:r>
          </w:p>
        </w:tc>
        <w:tc>
          <w:tcPr>
            <w:tcW w:w="7087" w:type="dxa"/>
          </w:tcPr>
          <w:p w14:paraId="763812D8" w14:textId="39CFF67B" w:rsidR="00DC58D3" w:rsidRPr="00C33EC5" w:rsidRDefault="00DC58D3" w:rsidP="009A7917">
            <w:pPr>
              <w:pStyle w:val="BodyText"/>
            </w:pPr>
            <w:r w:rsidRPr="00DC58D3">
              <w:t>Concerned with the psychological, social, behavioural, and ethical aspects of cancer. This subspecialty addresses the two major psychological dimensions of cancer: the psychological responses of patients to cancer at all stages of the disease and that of their families and caretakers; and the psychological, behavioural and social factors that may influence the disease process.</w:t>
            </w:r>
          </w:p>
        </w:tc>
      </w:tr>
      <w:tr w:rsidR="003D5496" w:rsidRPr="009F1FE5" w14:paraId="0A078845" w14:textId="62CF584B" w:rsidTr="00C33EC5">
        <w:trPr>
          <w:trHeight w:val="531"/>
        </w:trPr>
        <w:tc>
          <w:tcPr>
            <w:tcW w:w="2552" w:type="dxa"/>
          </w:tcPr>
          <w:p w14:paraId="0300BDD6" w14:textId="41C84533" w:rsidR="003D5496" w:rsidRPr="009F1FE5" w:rsidRDefault="00742867" w:rsidP="009A7917">
            <w:pPr>
              <w:pStyle w:val="Positionmetadata"/>
            </w:pPr>
            <w:r>
              <w:rPr>
                <w:caps w:val="0"/>
              </w:rPr>
              <w:t>Public</w:t>
            </w:r>
          </w:p>
        </w:tc>
        <w:tc>
          <w:tcPr>
            <w:tcW w:w="7087" w:type="dxa"/>
          </w:tcPr>
          <w:p w14:paraId="4E7F7064" w14:textId="7F5ADCDB" w:rsidR="003D5496" w:rsidRPr="00C33EC5" w:rsidRDefault="00F40BDA" w:rsidP="009A7917">
            <w:pPr>
              <w:pStyle w:val="BodyText"/>
            </w:pPr>
            <w:r w:rsidRPr="00C33EC5">
              <w:t>U</w:t>
            </w:r>
            <w:r w:rsidRPr="00C33EC5">
              <w:t>sed to collectively refer to consumers and community members. </w:t>
            </w:r>
          </w:p>
        </w:tc>
      </w:tr>
      <w:tr w:rsidR="00F6291D" w:rsidRPr="009F1FE5" w14:paraId="070DA482" w14:textId="77777777" w:rsidTr="00C33EC5">
        <w:trPr>
          <w:trHeight w:val="680"/>
        </w:trPr>
        <w:tc>
          <w:tcPr>
            <w:tcW w:w="2552" w:type="dxa"/>
          </w:tcPr>
          <w:p w14:paraId="2BDFEED8" w14:textId="3CA047ED" w:rsidR="00F6291D" w:rsidRDefault="00F6291D" w:rsidP="009A7917">
            <w:pPr>
              <w:pStyle w:val="Positionmetadata"/>
              <w:rPr>
                <w:caps w:val="0"/>
              </w:rPr>
            </w:pPr>
            <w:r>
              <w:rPr>
                <w:caps w:val="0"/>
              </w:rPr>
              <w:lastRenderedPageBreak/>
              <w:t>Quality of life</w:t>
            </w:r>
          </w:p>
        </w:tc>
        <w:tc>
          <w:tcPr>
            <w:tcW w:w="7087" w:type="dxa"/>
          </w:tcPr>
          <w:p w14:paraId="48DAA58B" w14:textId="4BD15127" w:rsidR="00F6291D" w:rsidRPr="00C33EC5" w:rsidRDefault="00F6291D" w:rsidP="009A7917">
            <w:pPr>
              <w:pStyle w:val="BodyText"/>
            </w:pPr>
            <w:r w:rsidRPr="00F6291D">
              <w:t>An individual’s overall appraisal of their situation and subjective sense of wellbeing. Quality of life encompasses symptoms of disease and side effects of treatment, functional capacity, social interactions and relationships, and occupational functioning. Key psychological aspects include subjective distress, satisfaction with treatment, existential issues, and the impact of illness and treatment on sexuality and body image.</w:t>
            </w:r>
          </w:p>
        </w:tc>
      </w:tr>
      <w:tr w:rsidR="00B57475" w:rsidRPr="009F1FE5" w14:paraId="342C0422" w14:textId="77777777" w:rsidTr="00C33EC5">
        <w:trPr>
          <w:trHeight w:val="680"/>
        </w:trPr>
        <w:tc>
          <w:tcPr>
            <w:tcW w:w="2552" w:type="dxa"/>
          </w:tcPr>
          <w:p w14:paraId="0634D6D8" w14:textId="06B53DB1" w:rsidR="00B57475" w:rsidRDefault="00B57475" w:rsidP="009A7917">
            <w:pPr>
              <w:pStyle w:val="Positionmetadata"/>
              <w:rPr>
                <w:caps w:val="0"/>
              </w:rPr>
            </w:pPr>
            <w:r>
              <w:rPr>
                <w:caps w:val="0"/>
              </w:rPr>
              <w:t>Randomised controlled trial</w:t>
            </w:r>
          </w:p>
        </w:tc>
        <w:tc>
          <w:tcPr>
            <w:tcW w:w="7087" w:type="dxa"/>
          </w:tcPr>
          <w:p w14:paraId="3422BFFC" w14:textId="65696621" w:rsidR="00B57475" w:rsidRPr="00C33EC5" w:rsidRDefault="00B57475" w:rsidP="009A7917">
            <w:pPr>
              <w:pStyle w:val="BodyText"/>
            </w:pPr>
            <w:r w:rsidRPr="00B57475">
              <w:t>A trial in which participants are randomly allocated to receive the new treatment or the standard treatment (the control).</w:t>
            </w:r>
          </w:p>
        </w:tc>
      </w:tr>
      <w:tr w:rsidR="00B86BDB" w:rsidRPr="009F1FE5" w14:paraId="4CA7D351" w14:textId="77777777" w:rsidTr="00C33EC5">
        <w:trPr>
          <w:trHeight w:val="680"/>
        </w:trPr>
        <w:tc>
          <w:tcPr>
            <w:tcW w:w="2552" w:type="dxa"/>
          </w:tcPr>
          <w:p w14:paraId="2D28EC4D" w14:textId="763C742A" w:rsidR="00B86BDB" w:rsidRDefault="00742867" w:rsidP="009A7917">
            <w:pPr>
              <w:pStyle w:val="Positionmetadata"/>
            </w:pPr>
            <w:r>
              <w:rPr>
                <w:caps w:val="0"/>
              </w:rPr>
              <w:t>Research</w:t>
            </w:r>
          </w:p>
        </w:tc>
        <w:tc>
          <w:tcPr>
            <w:tcW w:w="7087" w:type="dxa"/>
          </w:tcPr>
          <w:p w14:paraId="15FE0238" w14:textId="3C569DBD" w:rsidR="00B86BDB" w:rsidRPr="00C33EC5" w:rsidRDefault="00A5478C" w:rsidP="009A7917">
            <w:pPr>
              <w:pStyle w:val="BodyText"/>
            </w:pPr>
            <w:r w:rsidRPr="00C33EC5">
              <w:t>A</w:t>
            </w:r>
            <w:r w:rsidRPr="00C33EC5">
              <w:t>n original investigation undertaken to gain knowledge, understanding and insight. </w:t>
            </w:r>
          </w:p>
        </w:tc>
      </w:tr>
      <w:tr w:rsidR="00B86BDB" w:rsidRPr="009F1FE5" w14:paraId="2988A6A0" w14:textId="77777777" w:rsidTr="00C33EC5">
        <w:trPr>
          <w:trHeight w:val="75"/>
        </w:trPr>
        <w:tc>
          <w:tcPr>
            <w:tcW w:w="2552" w:type="dxa"/>
          </w:tcPr>
          <w:p w14:paraId="7B6CA8C1" w14:textId="519D10C5" w:rsidR="00B86BDB" w:rsidRDefault="00742867" w:rsidP="009A7917">
            <w:pPr>
              <w:pStyle w:val="Positionmetadata"/>
            </w:pPr>
            <w:r>
              <w:rPr>
                <w:caps w:val="0"/>
              </w:rPr>
              <w:t>Research participation</w:t>
            </w:r>
          </w:p>
        </w:tc>
        <w:tc>
          <w:tcPr>
            <w:tcW w:w="7087" w:type="dxa"/>
          </w:tcPr>
          <w:p w14:paraId="5F09A4F5" w14:textId="4E2347F7" w:rsidR="00103D23" w:rsidRPr="00103D23" w:rsidRDefault="00103D23" w:rsidP="009A7917">
            <w:pPr>
              <w:pStyle w:val="BodyText"/>
            </w:pPr>
            <w:r w:rsidRPr="00C33EC5">
              <w:t>R</w:t>
            </w:r>
            <w:r w:rsidRPr="00103D23">
              <w:t xml:space="preserve">efers to people who partake in a research project such as clinical trials, surveys and focus groups. Ethics and individual consent </w:t>
            </w:r>
            <w:proofErr w:type="gramStart"/>
            <w:r w:rsidRPr="00103D23">
              <w:t>is</w:t>
            </w:r>
            <w:proofErr w:type="gramEnd"/>
            <w:r w:rsidRPr="00103D23">
              <w:t xml:space="preserve"> required before participation starts.</w:t>
            </w:r>
          </w:p>
          <w:p w14:paraId="1292EC87" w14:textId="77777777" w:rsidR="00B86BDB" w:rsidRPr="00C33EC5" w:rsidRDefault="00B86BDB" w:rsidP="009A7917">
            <w:pPr>
              <w:pStyle w:val="BodyText"/>
            </w:pPr>
          </w:p>
        </w:tc>
      </w:tr>
      <w:tr w:rsidR="001B364F" w:rsidRPr="009F1FE5" w14:paraId="223EF8C7" w14:textId="77777777" w:rsidTr="00C33EC5">
        <w:trPr>
          <w:trHeight w:val="75"/>
        </w:trPr>
        <w:tc>
          <w:tcPr>
            <w:tcW w:w="2552" w:type="dxa"/>
          </w:tcPr>
          <w:p w14:paraId="1458DB0F" w14:textId="278C1AD4" w:rsidR="001B364F" w:rsidRDefault="001B364F" w:rsidP="009A7917">
            <w:pPr>
              <w:pStyle w:val="Positionmetadata"/>
              <w:rPr>
                <w:caps w:val="0"/>
              </w:rPr>
            </w:pPr>
            <w:r>
              <w:rPr>
                <w:caps w:val="0"/>
              </w:rPr>
              <w:t>Survivorship</w:t>
            </w:r>
          </w:p>
        </w:tc>
        <w:tc>
          <w:tcPr>
            <w:tcW w:w="7087" w:type="dxa"/>
          </w:tcPr>
          <w:p w14:paraId="371BD861" w14:textId="77777777" w:rsidR="001B364F" w:rsidRPr="001B364F" w:rsidRDefault="001B364F" w:rsidP="001B364F">
            <w:pPr>
              <w:pStyle w:val="BodyText"/>
            </w:pPr>
            <w:r w:rsidRPr="001B364F">
              <w:t>In cancer, survivorship focuses on the health and life of a person with cancer beyond the diagnosis and treatment phases. Survivorship includes issues related to follow-up care, late effects of treatment, second cancers, and quality of life. Family members, friends, and caregivers are also part of the survivorship experience.</w:t>
            </w:r>
          </w:p>
          <w:p w14:paraId="2FD890FD" w14:textId="77777777" w:rsidR="001B364F" w:rsidRDefault="001B364F" w:rsidP="001B364F">
            <w:pPr>
              <w:pStyle w:val="BodyText"/>
            </w:pPr>
          </w:p>
        </w:tc>
      </w:tr>
      <w:tr w:rsidR="00F55EDF" w:rsidRPr="009F1FE5" w14:paraId="6E258FD1" w14:textId="77777777" w:rsidTr="00C33EC5">
        <w:trPr>
          <w:trHeight w:val="75"/>
        </w:trPr>
        <w:tc>
          <w:tcPr>
            <w:tcW w:w="2552" w:type="dxa"/>
          </w:tcPr>
          <w:p w14:paraId="6D884943" w14:textId="0013E7BB" w:rsidR="00F55EDF" w:rsidRDefault="00F55EDF" w:rsidP="009A7917">
            <w:pPr>
              <w:pStyle w:val="Positionmetadata"/>
              <w:rPr>
                <w:caps w:val="0"/>
              </w:rPr>
            </w:pPr>
            <w:r>
              <w:rPr>
                <w:caps w:val="0"/>
              </w:rPr>
              <w:t>Tissue biopsy</w:t>
            </w:r>
          </w:p>
        </w:tc>
        <w:tc>
          <w:tcPr>
            <w:tcW w:w="7087" w:type="dxa"/>
          </w:tcPr>
          <w:p w14:paraId="206F6FED" w14:textId="2389D770" w:rsidR="00F55EDF" w:rsidRDefault="00F55EDF" w:rsidP="001B364F">
            <w:pPr>
              <w:pStyle w:val="BodyText"/>
            </w:pPr>
            <w:r w:rsidRPr="00F55EDF">
              <w:t>Examination of tissue that has been removed from the body under a microscope so any abnormalities in the cells can be seen.</w:t>
            </w:r>
          </w:p>
        </w:tc>
      </w:tr>
      <w:tr w:rsidR="00080E2F" w:rsidRPr="009F1FE5" w14:paraId="0C735DF1" w14:textId="77777777" w:rsidTr="00C33EC5">
        <w:trPr>
          <w:trHeight w:val="75"/>
        </w:trPr>
        <w:tc>
          <w:tcPr>
            <w:tcW w:w="2552" w:type="dxa"/>
          </w:tcPr>
          <w:p w14:paraId="6D7A4DF5" w14:textId="1C1461D7" w:rsidR="00080E2F" w:rsidRDefault="00742867" w:rsidP="009A7917">
            <w:pPr>
              <w:pStyle w:val="Positionmetadata"/>
            </w:pPr>
            <w:r>
              <w:rPr>
                <w:caps w:val="0"/>
              </w:rPr>
              <w:t>UMCCR</w:t>
            </w:r>
          </w:p>
        </w:tc>
        <w:tc>
          <w:tcPr>
            <w:tcW w:w="7087" w:type="dxa"/>
          </w:tcPr>
          <w:p w14:paraId="6B01454C" w14:textId="77777777" w:rsidR="009B6799" w:rsidRPr="009B6799" w:rsidRDefault="009B6799" w:rsidP="001B364F">
            <w:pPr>
              <w:pStyle w:val="BodyText"/>
            </w:pPr>
            <w:r>
              <w:t xml:space="preserve">The </w:t>
            </w:r>
            <w:r w:rsidR="00E774AB">
              <w:t>University of Melbourne Centre for Cancer Research (UMCCR)</w:t>
            </w:r>
            <w:r>
              <w:t xml:space="preserve"> </w:t>
            </w:r>
            <w:r w:rsidRPr="009B6799">
              <w:t xml:space="preserve">brings together university leaders committed to improving the outcomes and quality of life for people affected by cancer. </w:t>
            </w:r>
          </w:p>
          <w:p w14:paraId="080D9755" w14:textId="55D06A73" w:rsidR="00080E2F" w:rsidRPr="001F2449" w:rsidRDefault="009B6799" w:rsidP="001B364F">
            <w:pPr>
              <w:pStyle w:val="BodyText"/>
            </w:pPr>
            <w:hyperlink r:id="rId7" w:history="1">
              <w:r w:rsidRPr="001B364F">
                <w:t>mdhs.unimelb.ed</w:t>
              </w:r>
              <w:r w:rsidRPr="001B364F">
                <w:t>u</w:t>
              </w:r>
              <w:r w:rsidRPr="001B364F">
                <w:t>.au/</w:t>
              </w:r>
              <w:proofErr w:type="spellStart"/>
              <w:r w:rsidRPr="001B364F">
                <w:t>umccr</w:t>
              </w:r>
              <w:proofErr w:type="spellEnd"/>
            </w:hyperlink>
            <w:r w:rsidR="001B364F">
              <w:t xml:space="preserve"> </w:t>
            </w:r>
          </w:p>
        </w:tc>
      </w:tr>
      <w:tr w:rsidR="009B6799" w:rsidRPr="009F1FE5" w14:paraId="21280C3A" w14:textId="77777777" w:rsidTr="00C33EC5">
        <w:trPr>
          <w:trHeight w:val="75"/>
        </w:trPr>
        <w:tc>
          <w:tcPr>
            <w:tcW w:w="2552" w:type="dxa"/>
          </w:tcPr>
          <w:p w14:paraId="65D7D345" w14:textId="20CA2262" w:rsidR="009B6799" w:rsidRDefault="00742867" w:rsidP="009A7917">
            <w:pPr>
              <w:pStyle w:val="Positionmetadata"/>
            </w:pPr>
            <w:r>
              <w:rPr>
                <w:caps w:val="0"/>
              </w:rPr>
              <w:t>VCCC</w:t>
            </w:r>
          </w:p>
        </w:tc>
        <w:tc>
          <w:tcPr>
            <w:tcW w:w="7087" w:type="dxa"/>
          </w:tcPr>
          <w:p w14:paraId="4BB62F2A" w14:textId="6D5CB005" w:rsidR="00A54D72" w:rsidRPr="00A54D72" w:rsidRDefault="009B6799" w:rsidP="001B364F">
            <w:pPr>
              <w:pStyle w:val="BodyText"/>
            </w:pPr>
            <w:r>
              <w:t>The Victorian Comprehensive Cancer Centre</w:t>
            </w:r>
            <w:r w:rsidR="00246DB7">
              <w:t xml:space="preserve"> (VCCC) </w:t>
            </w:r>
            <w:r w:rsidR="00A54D72">
              <w:t xml:space="preserve">is </w:t>
            </w:r>
            <w:r w:rsidR="00A54D72" w:rsidRPr="00A54D72">
              <w:t>Australia’s first comprehensive cancer centre providing a multidisciplinary, integrated approach to cancer research, education and clinical care.</w:t>
            </w:r>
          </w:p>
          <w:p w14:paraId="2E233980" w14:textId="77777777" w:rsidR="009B6799" w:rsidRDefault="005C319C" w:rsidP="001B364F">
            <w:pPr>
              <w:pStyle w:val="BodyText"/>
            </w:pPr>
            <w:r>
              <w:t>The 10 a</w:t>
            </w:r>
            <w:r w:rsidRPr="00246DB7">
              <w:t xml:space="preserve">lliance partners represent a critical mass of </w:t>
            </w:r>
            <w:r>
              <w:t xml:space="preserve">cancer </w:t>
            </w:r>
            <w:r w:rsidRPr="00246DB7">
              <w:t xml:space="preserve">expertise and resources. </w:t>
            </w:r>
            <w:r w:rsidR="00A54D72" w:rsidRPr="00A54D72">
              <w:t>The fundamental premise is that a comprehensive cancer centre of integrated organisations will gain far greater benefits in cancer more quickly than an individual organisation could achieve alone.</w:t>
            </w:r>
          </w:p>
          <w:p w14:paraId="23D0ED30" w14:textId="6287607F" w:rsidR="005C319C" w:rsidRDefault="005C319C" w:rsidP="001B364F">
            <w:pPr>
              <w:pStyle w:val="BodyText"/>
            </w:pPr>
            <w:hyperlink r:id="rId8" w:history="1">
              <w:r w:rsidRPr="001B364F">
                <w:t>viccompcancerctr.org</w:t>
              </w:r>
            </w:hyperlink>
          </w:p>
        </w:tc>
      </w:tr>
      <w:tr w:rsidR="00B86BDB" w:rsidRPr="009F1FE5" w14:paraId="130250E4" w14:textId="77777777" w:rsidTr="00C33EC5">
        <w:trPr>
          <w:trHeight w:val="1210"/>
        </w:trPr>
        <w:tc>
          <w:tcPr>
            <w:tcW w:w="2552" w:type="dxa"/>
          </w:tcPr>
          <w:p w14:paraId="072F2DBC" w14:textId="77777777" w:rsidR="00B86BDB" w:rsidRDefault="00B86BDB" w:rsidP="009A7917">
            <w:pPr>
              <w:pStyle w:val="Positionmetadata"/>
            </w:pPr>
          </w:p>
        </w:tc>
        <w:tc>
          <w:tcPr>
            <w:tcW w:w="7087" w:type="dxa"/>
          </w:tcPr>
          <w:p w14:paraId="37FA28F7" w14:textId="77777777" w:rsidR="00B86BDB" w:rsidRPr="001F2449" w:rsidRDefault="00B86BDB" w:rsidP="001F2449">
            <w:pPr>
              <w:rPr>
                <w:rFonts w:ascii="Arial" w:hAnsi="Arial" w:cs="Arial"/>
                <w:sz w:val="22"/>
              </w:rPr>
            </w:pPr>
          </w:p>
        </w:tc>
      </w:tr>
    </w:tbl>
    <w:p w14:paraId="7CCF1A57" w14:textId="6C5B25FF" w:rsidR="00CE4BC1" w:rsidRPr="00735625" w:rsidRDefault="00CE4BC1" w:rsidP="00735625">
      <w:pPr>
        <w:rPr>
          <w:rFonts w:ascii="Calibri" w:hAnsi="Calibri" w:cs="Calibri"/>
          <w:iCs/>
          <w:sz w:val="22"/>
        </w:rPr>
      </w:pPr>
    </w:p>
    <w:sectPr w:rsidR="00CE4BC1" w:rsidRPr="00735625" w:rsidSect="00A51DFC">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66EFA" w14:textId="77777777" w:rsidR="00946951" w:rsidRDefault="00946951" w:rsidP="00C37A29">
      <w:r>
        <w:separator/>
      </w:r>
    </w:p>
  </w:endnote>
  <w:endnote w:type="continuationSeparator" w:id="0">
    <w:p w14:paraId="5823C2B7" w14:textId="77777777" w:rsidR="00946951" w:rsidRDefault="00946951"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ucidaSans">
    <w:altName w:val="Lucida Sans"/>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626802"/>
      <w:docPartObj>
        <w:docPartGallery w:val="Page Numbers (Bottom of Page)"/>
        <w:docPartUnique/>
      </w:docPartObj>
    </w:sdtPr>
    <w:sdtEndPr>
      <w:rPr>
        <w:noProof/>
      </w:rPr>
    </w:sdtEndPr>
    <w:sdtContent>
      <w:p w14:paraId="3E9C36AC" w14:textId="77777777" w:rsidR="007D2DDB" w:rsidRPr="0042339A" w:rsidRDefault="006B7D5D" w:rsidP="006B7D5D">
        <w:pPr>
          <w:pStyle w:val="Footer"/>
        </w:pPr>
        <w:r>
          <w:rPr>
            <w:noProof/>
          </w:rPr>
          <mc:AlternateContent>
            <mc:Choice Requires="wps">
              <w:drawing>
                <wp:anchor distT="0" distB="0" distL="114300" distR="114300" simplePos="0" relativeHeight="251659264" behindDoc="0" locked="1" layoutInCell="1" allowOverlap="1" wp14:anchorId="3E9C36AE" wp14:editId="3E9C36AF">
                  <wp:simplePos x="0" y="0"/>
                  <wp:positionH relativeFrom="page">
                    <wp:posOffset>720090</wp:posOffset>
                  </wp:positionH>
                  <wp:positionV relativeFrom="margin">
                    <wp:align>bottom</wp:align>
                  </wp:positionV>
                  <wp:extent cx="61200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2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900C82" id="Straight Connector 62" o:spid="_x0000_s1026" style="position:absolute;z-index:251659264;visibility:visible;mso-wrap-style:square;mso-width-percent:0;mso-wrap-distance-left:9pt;mso-wrap-distance-top:0;mso-wrap-distance-right:9pt;mso-wrap-distance-bottom:0;mso-position-horizontal:absolute;mso-position-horizontal-relative:page;mso-position-vertical:bottom;mso-position-vertical-relative:margin;mso-width-percent:0;mso-width-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" strokecolor="#094183 [3204]">
                  <v:stroke joinstyle="miter"/>
                  <w10:wrap anchorx="page" anchory="margin"/>
                  <w10:anchorlock/>
                </v:line>
              </w:pict>
            </mc:Fallback>
          </mc:AlternateContent>
        </w:r>
        <w:r>
          <w:t xml:space="preserve">Page </w:t>
        </w:r>
        <w:r>
          <w:fldChar w:fldCharType="begin"/>
        </w:r>
        <w:r>
          <w:instrText xml:space="preserve"> PAGE  \* Arabic  \* MERGEFORMAT </w:instrText>
        </w:r>
        <w:r>
          <w:fldChar w:fldCharType="separate"/>
        </w:r>
        <w:r w:rsidR="00E532D3">
          <w:rPr>
            <w:noProof/>
          </w:rPr>
          <w:t>2</w:t>
        </w:r>
        <w:r>
          <w:fldChar w:fldCharType="end"/>
        </w:r>
        <w:r>
          <w:t xml:space="preserve"> of </w:t>
        </w:r>
        <w:fldSimple w:instr=" NUMPAGES  \* Arabic  \* MERGEFORMAT ">
          <w:r w:rsidR="00E532D3">
            <w:rPr>
              <w:noProof/>
            </w:rPr>
            <w:t>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0EBE" w14:textId="77777777" w:rsidR="00946951" w:rsidRDefault="00946951" w:rsidP="00C37A29">
      <w:r>
        <w:separator/>
      </w:r>
    </w:p>
  </w:footnote>
  <w:footnote w:type="continuationSeparator" w:id="0">
    <w:p w14:paraId="23D09FFE" w14:textId="77777777" w:rsidR="00946951" w:rsidRDefault="00946951" w:rsidP="00C3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5BCD" w14:textId="77479E5A" w:rsidR="005E36D2" w:rsidRDefault="00F22161">
    <w:pPr>
      <w:pStyle w:val="Header"/>
    </w:pPr>
    <w:r>
      <w:rPr>
        <w:noProof/>
      </w:rPr>
      <w:drawing>
        <wp:anchor distT="0" distB="0" distL="114300" distR="114300" simplePos="0" relativeHeight="251661312" behindDoc="1" locked="0" layoutInCell="1" allowOverlap="1" wp14:anchorId="1192D33E" wp14:editId="74295A51">
          <wp:simplePos x="0" y="0"/>
          <wp:positionH relativeFrom="column">
            <wp:posOffset>159385</wp:posOffset>
          </wp:positionH>
          <wp:positionV relativeFrom="paragraph">
            <wp:posOffset>-137682</wp:posOffset>
          </wp:positionV>
          <wp:extent cx="6234430" cy="1558290"/>
          <wp:effectExtent l="0" t="0" r="1270" b="3810"/>
          <wp:wrapTight wrapText="bothSides">
            <wp:wrapPolygon edited="0">
              <wp:start x="0" y="0"/>
              <wp:lineTo x="0" y="21477"/>
              <wp:lineTo x="21560" y="21477"/>
              <wp:lineTo x="21560" y="0"/>
              <wp:lineTo x="0" y="0"/>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4430" cy="1558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6.15pt;height:10.7pt" o:bullet="t">
        <v:imagedata r:id="rId1" o:title="arrow"/>
      </v:shape>
    </w:pict>
  </w:numPicBullet>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9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4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A0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7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1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FCE288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A6D1E38"/>
    <w:multiLevelType w:val="hybridMultilevel"/>
    <w:tmpl w:val="F5F6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D48CE"/>
    <w:multiLevelType w:val="multilevel"/>
    <w:tmpl w:val="3FCE288E"/>
    <w:numStyleLink w:val="Numbering"/>
  </w:abstractNum>
  <w:abstractNum w:abstractNumId="14"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2ED478D"/>
    <w:multiLevelType w:val="hybridMultilevel"/>
    <w:tmpl w:val="C6C86234"/>
    <w:lvl w:ilvl="0" w:tplc="D212AF68">
      <w:start w:val="1"/>
      <w:numFmt w:val="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2D53ED"/>
    <w:multiLevelType w:val="multilevel"/>
    <w:tmpl w:val="3FCE288E"/>
    <w:numStyleLink w:val="Numbering"/>
  </w:abstractNum>
  <w:abstractNum w:abstractNumId="17" w15:restartNumberingAfterBreak="0">
    <w:nsid w:val="17D32103"/>
    <w:multiLevelType w:val="hybridMultilevel"/>
    <w:tmpl w:val="3CA27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EF6EFF"/>
    <w:multiLevelType w:val="hybridMultilevel"/>
    <w:tmpl w:val="A73060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01086B"/>
    <w:multiLevelType w:val="hybridMultilevel"/>
    <w:tmpl w:val="5CA6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C1DAB"/>
    <w:multiLevelType w:val="hybridMultilevel"/>
    <w:tmpl w:val="D3EA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F1D0F"/>
    <w:multiLevelType w:val="multilevel"/>
    <w:tmpl w:val="FF46A97C"/>
    <w:numStyleLink w:val="Bullets"/>
  </w:abstractNum>
  <w:abstractNum w:abstractNumId="22" w15:restartNumberingAfterBreak="0">
    <w:nsid w:val="330636E7"/>
    <w:multiLevelType w:val="hybridMultilevel"/>
    <w:tmpl w:val="D8CA6CD4"/>
    <w:lvl w:ilvl="0" w:tplc="0C090001">
      <w:start w:val="1"/>
      <w:numFmt w:val="bullet"/>
      <w:lvlText w:val=""/>
      <w:lvlJc w:val="left"/>
      <w:pPr>
        <w:ind w:left="720" w:hanging="360"/>
      </w:pPr>
      <w:rPr>
        <w:rFonts w:ascii="Symbol" w:hAnsi="Symbol" w:hint="default"/>
      </w:rPr>
    </w:lvl>
    <w:lvl w:ilvl="1" w:tplc="16BC924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97427"/>
    <w:multiLevelType w:val="multilevel"/>
    <w:tmpl w:val="3FCE288E"/>
    <w:numStyleLink w:val="Numbering"/>
  </w:abstractNum>
  <w:abstractNum w:abstractNumId="24" w15:restartNumberingAfterBreak="0">
    <w:nsid w:val="4E7F1CD0"/>
    <w:multiLevelType w:val="multilevel"/>
    <w:tmpl w:val="3FCE288E"/>
    <w:numStyleLink w:val="Numbering"/>
  </w:abstractNum>
  <w:abstractNum w:abstractNumId="25" w15:restartNumberingAfterBreak="0">
    <w:nsid w:val="530F27A6"/>
    <w:multiLevelType w:val="hybridMultilevel"/>
    <w:tmpl w:val="72A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E59EB"/>
    <w:multiLevelType w:val="hybridMultilevel"/>
    <w:tmpl w:val="9A44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1502C"/>
    <w:multiLevelType w:val="multilevel"/>
    <w:tmpl w:val="FF46A97C"/>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284" w:firstLine="283"/>
      </w:pPr>
      <w:rPr>
        <w:rFonts w:ascii="Calibri" w:hAnsi="Calibri" w:cs="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43520E2"/>
    <w:multiLevelType w:val="multilevel"/>
    <w:tmpl w:val="FF46A97C"/>
    <w:numStyleLink w:val="Bullets"/>
  </w:abstractNum>
  <w:abstractNum w:abstractNumId="29" w15:restartNumberingAfterBreak="0">
    <w:nsid w:val="660D51AD"/>
    <w:multiLevelType w:val="multilevel"/>
    <w:tmpl w:val="3FCE288E"/>
    <w:numStyleLink w:val="Numbering"/>
  </w:abstractNum>
  <w:abstractNum w:abstractNumId="30" w15:restartNumberingAfterBreak="0">
    <w:nsid w:val="6C8D2CA4"/>
    <w:multiLevelType w:val="hybridMultilevel"/>
    <w:tmpl w:val="A5F2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D0736"/>
    <w:multiLevelType w:val="multilevel"/>
    <w:tmpl w:val="3FCE288E"/>
    <w:numStyleLink w:val="Numbering"/>
  </w:abstractNum>
  <w:abstractNum w:abstractNumId="32" w15:restartNumberingAfterBreak="0">
    <w:nsid w:val="7E5260CA"/>
    <w:multiLevelType w:val="hybridMultilevel"/>
    <w:tmpl w:val="BFE06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E25D59"/>
    <w:multiLevelType w:val="hybridMultilevel"/>
    <w:tmpl w:val="E23A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21"/>
  </w:num>
  <w:num w:numId="14">
    <w:abstractNumId w:val="14"/>
  </w:num>
  <w:num w:numId="15">
    <w:abstractNumId w:val="31"/>
  </w:num>
  <w:num w:numId="16">
    <w:abstractNumId w:val="24"/>
  </w:num>
  <w:num w:numId="17">
    <w:abstractNumId w:val="29"/>
  </w:num>
  <w:num w:numId="18">
    <w:abstractNumId w:val="10"/>
  </w:num>
  <w:num w:numId="19">
    <w:abstractNumId w:val="13"/>
  </w:num>
  <w:num w:numId="20">
    <w:abstractNumId w:val="23"/>
  </w:num>
  <w:num w:numId="21">
    <w:abstractNumId w:val="16"/>
  </w:num>
  <w:num w:numId="22">
    <w:abstractNumId w:val="11"/>
  </w:num>
  <w:num w:numId="23">
    <w:abstractNumId w:val="32"/>
  </w:num>
  <w:num w:numId="24">
    <w:abstractNumId w:val="19"/>
  </w:num>
  <w:num w:numId="25">
    <w:abstractNumId w:val="17"/>
  </w:num>
  <w:num w:numId="26">
    <w:abstractNumId w:val="22"/>
  </w:num>
  <w:num w:numId="27">
    <w:abstractNumId w:val="25"/>
  </w:num>
  <w:num w:numId="28">
    <w:abstractNumId w:val="26"/>
  </w:num>
  <w:num w:numId="29">
    <w:abstractNumId w:val="30"/>
  </w:num>
  <w:num w:numId="30">
    <w:abstractNumId w:val="20"/>
  </w:num>
  <w:num w:numId="31">
    <w:abstractNumId w:val="33"/>
  </w:num>
  <w:num w:numId="32">
    <w:abstractNumId w:val="15"/>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1293"/>
    <w:rsid w:val="0000133C"/>
    <w:rsid w:val="000055C6"/>
    <w:rsid w:val="0005442A"/>
    <w:rsid w:val="000759E3"/>
    <w:rsid w:val="00080773"/>
    <w:rsid w:val="00080E2F"/>
    <w:rsid w:val="000831FB"/>
    <w:rsid w:val="000A18C3"/>
    <w:rsid w:val="000A21AF"/>
    <w:rsid w:val="000B0452"/>
    <w:rsid w:val="000B3CE5"/>
    <w:rsid w:val="000B584C"/>
    <w:rsid w:val="000B6AC4"/>
    <w:rsid w:val="0010009E"/>
    <w:rsid w:val="00103D23"/>
    <w:rsid w:val="00106D77"/>
    <w:rsid w:val="001250CD"/>
    <w:rsid w:val="001268BC"/>
    <w:rsid w:val="001311AF"/>
    <w:rsid w:val="0013770E"/>
    <w:rsid w:val="00166AF4"/>
    <w:rsid w:val="001853AE"/>
    <w:rsid w:val="001A0D77"/>
    <w:rsid w:val="001A2CC4"/>
    <w:rsid w:val="001B364F"/>
    <w:rsid w:val="001B4652"/>
    <w:rsid w:val="001C5003"/>
    <w:rsid w:val="001D1DA2"/>
    <w:rsid w:val="001E005C"/>
    <w:rsid w:val="001F2449"/>
    <w:rsid w:val="001F446D"/>
    <w:rsid w:val="00207529"/>
    <w:rsid w:val="002315D7"/>
    <w:rsid w:val="00234D32"/>
    <w:rsid w:val="00246435"/>
    <w:rsid w:val="00246BCF"/>
    <w:rsid w:val="00246DB7"/>
    <w:rsid w:val="00266E34"/>
    <w:rsid w:val="00267AEF"/>
    <w:rsid w:val="00271A49"/>
    <w:rsid w:val="002B49E1"/>
    <w:rsid w:val="002D148B"/>
    <w:rsid w:val="002E061A"/>
    <w:rsid w:val="00305171"/>
    <w:rsid w:val="00306420"/>
    <w:rsid w:val="00321648"/>
    <w:rsid w:val="0034680A"/>
    <w:rsid w:val="00363FF8"/>
    <w:rsid w:val="0037211C"/>
    <w:rsid w:val="0037721D"/>
    <w:rsid w:val="003803C0"/>
    <w:rsid w:val="003B1DE2"/>
    <w:rsid w:val="003D23A3"/>
    <w:rsid w:val="003D5496"/>
    <w:rsid w:val="003D5856"/>
    <w:rsid w:val="003F3CE1"/>
    <w:rsid w:val="003F4F0E"/>
    <w:rsid w:val="00404E4F"/>
    <w:rsid w:val="00422287"/>
    <w:rsid w:val="0042339A"/>
    <w:rsid w:val="00430C33"/>
    <w:rsid w:val="00444A79"/>
    <w:rsid w:val="00444AF8"/>
    <w:rsid w:val="004635FD"/>
    <w:rsid w:val="0047578A"/>
    <w:rsid w:val="00480CC2"/>
    <w:rsid w:val="004872EB"/>
    <w:rsid w:val="004D1453"/>
    <w:rsid w:val="004E28C6"/>
    <w:rsid w:val="004F138F"/>
    <w:rsid w:val="00503709"/>
    <w:rsid w:val="00512E83"/>
    <w:rsid w:val="005141E8"/>
    <w:rsid w:val="00514C30"/>
    <w:rsid w:val="00517BA6"/>
    <w:rsid w:val="00562EF1"/>
    <w:rsid w:val="00567866"/>
    <w:rsid w:val="00580801"/>
    <w:rsid w:val="0058369E"/>
    <w:rsid w:val="00587C54"/>
    <w:rsid w:val="00594496"/>
    <w:rsid w:val="005C319C"/>
    <w:rsid w:val="005D22C9"/>
    <w:rsid w:val="005E23F5"/>
    <w:rsid w:val="005E36D2"/>
    <w:rsid w:val="005E7FDA"/>
    <w:rsid w:val="0060313A"/>
    <w:rsid w:val="00603FD5"/>
    <w:rsid w:val="00643D8B"/>
    <w:rsid w:val="00647142"/>
    <w:rsid w:val="00684D1E"/>
    <w:rsid w:val="006B7D5D"/>
    <w:rsid w:val="006C4AF4"/>
    <w:rsid w:val="006D3F2F"/>
    <w:rsid w:val="006E3536"/>
    <w:rsid w:val="0070089E"/>
    <w:rsid w:val="007055BF"/>
    <w:rsid w:val="00711059"/>
    <w:rsid w:val="00714488"/>
    <w:rsid w:val="00716DF2"/>
    <w:rsid w:val="00735625"/>
    <w:rsid w:val="00737D59"/>
    <w:rsid w:val="00742867"/>
    <w:rsid w:val="00751DF9"/>
    <w:rsid w:val="0077685E"/>
    <w:rsid w:val="00784175"/>
    <w:rsid w:val="007846A8"/>
    <w:rsid w:val="00786B04"/>
    <w:rsid w:val="00787E09"/>
    <w:rsid w:val="007A0363"/>
    <w:rsid w:val="007A74DD"/>
    <w:rsid w:val="007B55CC"/>
    <w:rsid w:val="007B7432"/>
    <w:rsid w:val="007C13D7"/>
    <w:rsid w:val="007C2735"/>
    <w:rsid w:val="007C6806"/>
    <w:rsid w:val="007D2DDB"/>
    <w:rsid w:val="007D661F"/>
    <w:rsid w:val="007E1191"/>
    <w:rsid w:val="00802AF5"/>
    <w:rsid w:val="00805A37"/>
    <w:rsid w:val="00826621"/>
    <w:rsid w:val="0085439B"/>
    <w:rsid w:val="008617A1"/>
    <w:rsid w:val="008636FF"/>
    <w:rsid w:val="00866BD0"/>
    <w:rsid w:val="008678E3"/>
    <w:rsid w:val="00880E72"/>
    <w:rsid w:val="0089743B"/>
    <w:rsid w:val="00897700"/>
    <w:rsid w:val="008B17F1"/>
    <w:rsid w:val="008B4965"/>
    <w:rsid w:val="008B4FD8"/>
    <w:rsid w:val="008D1ABD"/>
    <w:rsid w:val="008E150E"/>
    <w:rsid w:val="008F3409"/>
    <w:rsid w:val="008F3ACA"/>
    <w:rsid w:val="009228D1"/>
    <w:rsid w:val="00936068"/>
    <w:rsid w:val="00946951"/>
    <w:rsid w:val="009615D4"/>
    <w:rsid w:val="00971CD7"/>
    <w:rsid w:val="00974677"/>
    <w:rsid w:val="00994443"/>
    <w:rsid w:val="009A2F17"/>
    <w:rsid w:val="009A4C89"/>
    <w:rsid w:val="009A7917"/>
    <w:rsid w:val="009B6799"/>
    <w:rsid w:val="009C0D76"/>
    <w:rsid w:val="009C5573"/>
    <w:rsid w:val="009F1FE5"/>
    <w:rsid w:val="009F4BC7"/>
    <w:rsid w:val="00A103BB"/>
    <w:rsid w:val="00A228B2"/>
    <w:rsid w:val="00A328E7"/>
    <w:rsid w:val="00A33EA2"/>
    <w:rsid w:val="00A3490A"/>
    <w:rsid w:val="00A37999"/>
    <w:rsid w:val="00A51DFC"/>
    <w:rsid w:val="00A5478C"/>
    <w:rsid w:val="00A54D72"/>
    <w:rsid w:val="00A62FF9"/>
    <w:rsid w:val="00A9359B"/>
    <w:rsid w:val="00AE777E"/>
    <w:rsid w:val="00AF08FD"/>
    <w:rsid w:val="00B017C4"/>
    <w:rsid w:val="00B06147"/>
    <w:rsid w:val="00B23603"/>
    <w:rsid w:val="00B245A5"/>
    <w:rsid w:val="00B338ED"/>
    <w:rsid w:val="00B3749D"/>
    <w:rsid w:val="00B57475"/>
    <w:rsid w:val="00B65DAA"/>
    <w:rsid w:val="00B66B2F"/>
    <w:rsid w:val="00B74AF3"/>
    <w:rsid w:val="00B86BDB"/>
    <w:rsid w:val="00B87859"/>
    <w:rsid w:val="00B91D47"/>
    <w:rsid w:val="00BA30B9"/>
    <w:rsid w:val="00BA30EA"/>
    <w:rsid w:val="00BA7623"/>
    <w:rsid w:val="00BB538E"/>
    <w:rsid w:val="00C01E68"/>
    <w:rsid w:val="00C11924"/>
    <w:rsid w:val="00C23071"/>
    <w:rsid w:val="00C31E3C"/>
    <w:rsid w:val="00C33EC5"/>
    <w:rsid w:val="00C37A29"/>
    <w:rsid w:val="00C752B2"/>
    <w:rsid w:val="00CC40D0"/>
    <w:rsid w:val="00CD61EB"/>
    <w:rsid w:val="00CE4BC1"/>
    <w:rsid w:val="00CF02F0"/>
    <w:rsid w:val="00CF49F9"/>
    <w:rsid w:val="00CF6127"/>
    <w:rsid w:val="00D004EF"/>
    <w:rsid w:val="00D44DEC"/>
    <w:rsid w:val="00D60649"/>
    <w:rsid w:val="00D719E7"/>
    <w:rsid w:val="00D75F0D"/>
    <w:rsid w:val="00D87AD8"/>
    <w:rsid w:val="00D92D71"/>
    <w:rsid w:val="00D9419D"/>
    <w:rsid w:val="00DB2B1C"/>
    <w:rsid w:val="00DB5861"/>
    <w:rsid w:val="00DC58D3"/>
    <w:rsid w:val="00DD376C"/>
    <w:rsid w:val="00DD5C9E"/>
    <w:rsid w:val="00DD75E6"/>
    <w:rsid w:val="00DF4E3E"/>
    <w:rsid w:val="00E01151"/>
    <w:rsid w:val="00E20633"/>
    <w:rsid w:val="00E32F93"/>
    <w:rsid w:val="00E37110"/>
    <w:rsid w:val="00E45274"/>
    <w:rsid w:val="00E532D3"/>
    <w:rsid w:val="00E54B2B"/>
    <w:rsid w:val="00E632AC"/>
    <w:rsid w:val="00E73857"/>
    <w:rsid w:val="00E774AB"/>
    <w:rsid w:val="00E774D0"/>
    <w:rsid w:val="00E82313"/>
    <w:rsid w:val="00E84548"/>
    <w:rsid w:val="00E91C36"/>
    <w:rsid w:val="00EE6777"/>
    <w:rsid w:val="00EE6F14"/>
    <w:rsid w:val="00EF4951"/>
    <w:rsid w:val="00F010BA"/>
    <w:rsid w:val="00F10F1A"/>
    <w:rsid w:val="00F15A1A"/>
    <w:rsid w:val="00F162D4"/>
    <w:rsid w:val="00F22161"/>
    <w:rsid w:val="00F376AA"/>
    <w:rsid w:val="00F40BDA"/>
    <w:rsid w:val="00F4702C"/>
    <w:rsid w:val="00F55EDF"/>
    <w:rsid w:val="00F6291D"/>
    <w:rsid w:val="00F70F24"/>
    <w:rsid w:val="00F76962"/>
    <w:rsid w:val="00F85990"/>
    <w:rsid w:val="00F86165"/>
    <w:rsid w:val="00F87B07"/>
    <w:rsid w:val="00FB46AA"/>
    <w:rsid w:val="00FC0BB1"/>
    <w:rsid w:val="00FC2D8B"/>
    <w:rsid w:val="00FD6312"/>
    <w:rsid w:val="00FF34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3681"/>
  <w15:chartTrackingRefBased/>
  <w15:docId w15:val="{837255AF-5B44-43B4-8DA9-72F4E98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6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50CD"/>
    <w:pPr>
      <w:keepNext/>
      <w:keepLines/>
      <w:spacing w:before="240" w:after="6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9"/>
    <w:unhideWhenUsed/>
    <w:qFormat/>
    <w:rsid w:val="001250CD"/>
    <w:pPr>
      <w:keepNext/>
      <w:keepLines/>
      <w:spacing w:before="120" w:after="6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rsid w:val="001250CD"/>
    <w:pPr>
      <w:keepNext/>
      <w:keepLines/>
      <w:spacing w:before="120" w:after="60"/>
      <w:outlineLvl w:val="2"/>
    </w:pPr>
    <w:rPr>
      <w:rFonts w:asciiTheme="majorHAnsi" w:eastAsiaTheme="majorEastAsia" w:hAnsiTheme="majorHAnsi" w:cstheme="majorBidi"/>
      <w:color w:val="094183" w:themeColor="text2"/>
    </w:rPr>
  </w:style>
  <w:style w:type="paragraph" w:styleId="Heading4">
    <w:name w:val="heading 4"/>
    <w:basedOn w:val="Normal"/>
    <w:next w:val="Normal"/>
    <w:link w:val="Heading4Char"/>
    <w:uiPriority w:val="9"/>
    <w:unhideWhenUsed/>
    <w:qFormat/>
    <w:rsid w:val="00246435"/>
    <w:pPr>
      <w:keepNext/>
      <w:keepLines/>
      <w:spacing w:before="120" w:after="60"/>
      <w:outlineLvl w:val="3"/>
    </w:pPr>
    <w:rPr>
      <w:rFonts w:asciiTheme="majorHAnsi" w:eastAsiaTheme="majorEastAsia" w:hAnsiTheme="majorHAnsi" w:cstheme="majorBidi"/>
      <w:b/>
      <w:iCs/>
      <w:sz w:val="20"/>
      <w:szCs w:val="22"/>
    </w:rPr>
  </w:style>
  <w:style w:type="paragraph" w:styleId="Heading5">
    <w:name w:val="heading 5"/>
    <w:basedOn w:val="Normal"/>
    <w:next w:val="Normal"/>
    <w:link w:val="Heading5Char"/>
    <w:uiPriority w:val="9"/>
    <w:unhideWhenUsed/>
    <w:qFormat/>
    <w:rsid w:val="00246435"/>
    <w:pPr>
      <w:keepNext/>
      <w:keepLines/>
      <w:spacing w:before="120" w:after="60"/>
      <w:outlineLvl w:val="4"/>
    </w:pPr>
    <w:rPr>
      <w:rFonts w:asciiTheme="majorHAnsi" w:eastAsiaTheme="majorEastAsia" w:hAnsiTheme="majorHAnsi" w:cstheme="majorBidi"/>
      <w:caps/>
      <w:sz w:val="20"/>
      <w:szCs w:val="22"/>
    </w:rPr>
  </w:style>
  <w:style w:type="paragraph" w:styleId="Heading6">
    <w:name w:val="heading 6"/>
    <w:basedOn w:val="Normal"/>
    <w:next w:val="Normal"/>
    <w:link w:val="Heading6Char"/>
    <w:uiPriority w:val="9"/>
    <w:unhideWhenUsed/>
    <w:qFormat/>
    <w:rsid w:val="007C6806"/>
    <w:pPr>
      <w:keepNext/>
      <w:keepLines/>
      <w:spacing w:before="40"/>
      <w:outlineLvl w:val="5"/>
    </w:pPr>
    <w:rPr>
      <w:rFonts w:asciiTheme="majorHAnsi" w:eastAsiaTheme="majorEastAsia" w:hAnsiTheme="majorHAnsi" w:cstheme="majorBidi"/>
      <w:color w:val="042041" w:themeColor="accent1" w:themeShade="7F"/>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228D1"/>
    <w:pPr>
      <w:spacing w:after="280"/>
    </w:pPr>
    <w:rPr>
      <w:rFonts w:asciiTheme="minorHAnsi" w:eastAsiaTheme="minorHAnsi" w:hAnsiTheme="minorHAnsi" w:cstheme="minorBidi"/>
      <w:sz w:val="20"/>
      <w:szCs w:val="22"/>
    </w:rPr>
  </w:style>
  <w:style w:type="character" w:customStyle="1" w:styleId="DateChar">
    <w:name w:val="Date Char"/>
    <w:basedOn w:val="DefaultParagraphFont"/>
    <w:link w:val="Date"/>
    <w:uiPriority w:val="99"/>
    <w:rsid w:val="009228D1"/>
    <w:rPr>
      <w:sz w:val="20"/>
    </w:rPr>
  </w:style>
  <w:style w:type="paragraph" w:styleId="NoSpacing">
    <w:name w:val="No Spacing"/>
    <w:uiPriority w:val="1"/>
    <w:qFormat/>
    <w:rsid w:val="00C11924"/>
    <w:pPr>
      <w:spacing w:after="0" w:line="240" w:lineRule="auto"/>
    </w:pPr>
  </w:style>
  <w:style w:type="paragraph" w:customStyle="1" w:styleId="Address">
    <w:name w:val="Address"/>
    <w:basedOn w:val="Normal"/>
    <w:next w:val="Normal"/>
    <w:rsid w:val="00C11924"/>
    <w:pPr>
      <w:spacing w:after="360"/>
      <w:contextualSpacing/>
    </w:pPr>
    <w:rPr>
      <w:rFonts w:asciiTheme="minorHAnsi" w:eastAsiaTheme="minorHAnsi" w:hAnsiTheme="minorHAnsi" w:cstheme="minorBidi"/>
      <w:sz w:val="20"/>
      <w:szCs w:val="22"/>
    </w:rPr>
  </w:style>
  <w:style w:type="paragraph" w:customStyle="1" w:styleId="Sign-off">
    <w:name w:val="Sign-off"/>
    <w:basedOn w:val="NoSpacing"/>
    <w:next w:val="Normal"/>
    <w:qFormat/>
    <w:rsid w:val="00C11924"/>
    <w:rPr>
      <w:b/>
    </w:rPr>
  </w:style>
  <w:style w:type="paragraph" w:styleId="ListBullet">
    <w:name w:val="List Bullet"/>
    <w:basedOn w:val="Normal"/>
    <w:unhideWhenUsed/>
    <w:qFormat/>
    <w:rsid w:val="00B65DAA"/>
    <w:pPr>
      <w:numPr>
        <w:numId w:val="13"/>
      </w:numPr>
      <w:spacing w:after="120"/>
      <w:contextualSpacing/>
    </w:pPr>
    <w:rPr>
      <w:rFonts w:asciiTheme="minorHAnsi" w:eastAsiaTheme="minorHAnsi" w:hAnsiTheme="minorHAnsi" w:cstheme="minorBidi"/>
      <w:sz w:val="20"/>
      <w:szCs w:val="22"/>
    </w:rPr>
  </w:style>
  <w:style w:type="paragraph" w:styleId="ListBullet2">
    <w:name w:val="List Bullet 2"/>
    <w:basedOn w:val="Normal"/>
    <w:uiPriority w:val="99"/>
    <w:unhideWhenUsed/>
    <w:qFormat/>
    <w:rsid w:val="00B65DAA"/>
    <w:pPr>
      <w:numPr>
        <w:ilvl w:val="1"/>
        <w:numId w:val="13"/>
      </w:numPr>
      <w:spacing w:after="120"/>
      <w:contextualSpacing/>
    </w:pPr>
    <w:rPr>
      <w:rFonts w:asciiTheme="minorHAnsi" w:eastAsiaTheme="minorHAnsi" w:hAnsiTheme="minorHAnsi" w:cstheme="minorBidi"/>
      <w:sz w:val="20"/>
      <w:szCs w:val="22"/>
    </w:rPr>
  </w:style>
  <w:style w:type="paragraph" w:styleId="ListNumber">
    <w:name w:val="List Number"/>
    <w:basedOn w:val="Normal"/>
    <w:uiPriority w:val="99"/>
    <w:unhideWhenUsed/>
    <w:qFormat/>
    <w:rsid w:val="007A0363"/>
    <w:pPr>
      <w:numPr>
        <w:numId w:val="21"/>
      </w:numPr>
      <w:spacing w:after="120"/>
      <w:contextualSpacing/>
    </w:pPr>
    <w:rPr>
      <w:rFonts w:asciiTheme="minorHAnsi" w:eastAsiaTheme="minorHAnsi" w:hAnsiTheme="minorHAnsi" w:cstheme="minorBidi"/>
      <w:sz w:val="20"/>
      <w:szCs w:val="22"/>
    </w:rPr>
  </w:style>
  <w:style w:type="numbering" w:customStyle="1" w:styleId="Bullets">
    <w:name w:val="Bullets"/>
    <w:uiPriority w:val="99"/>
    <w:rsid w:val="00B65DAA"/>
    <w:pPr>
      <w:numPr>
        <w:numId w:val="11"/>
      </w:numPr>
    </w:pPr>
  </w:style>
  <w:style w:type="character" w:customStyle="1" w:styleId="Heading1Char">
    <w:name w:val="Heading 1 Char"/>
    <w:basedOn w:val="DefaultParagraphFont"/>
    <w:link w:val="Heading1"/>
    <w:uiPriority w:val="9"/>
    <w:rsid w:val="001250CD"/>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21"/>
      </w:numPr>
      <w:spacing w:after="120"/>
      <w:contextualSpacing/>
    </w:pPr>
    <w:rPr>
      <w:rFonts w:asciiTheme="minorHAnsi" w:eastAsiaTheme="minorHAnsi" w:hAnsiTheme="minorHAnsi" w:cstheme="minorBidi"/>
      <w:sz w:val="20"/>
      <w:szCs w:val="22"/>
    </w:rPr>
  </w:style>
  <w:style w:type="character" w:customStyle="1" w:styleId="Heading2Char">
    <w:name w:val="Heading 2 Char"/>
    <w:basedOn w:val="DefaultParagraphFont"/>
    <w:link w:val="Heading2"/>
    <w:uiPriority w:val="9"/>
    <w:rsid w:val="001250CD"/>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spacing w:after="120"/>
      <w:ind w:left="284"/>
      <w:contextualSpacing/>
    </w:pPr>
    <w:rPr>
      <w:rFonts w:asciiTheme="minorHAnsi" w:eastAsiaTheme="minorHAnsi" w:hAnsiTheme="minorHAnsi" w:cstheme="minorBidi"/>
      <w:sz w:val="20"/>
      <w:szCs w:val="22"/>
    </w:rPr>
  </w:style>
  <w:style w:type="paragraph" w:styleId="Header">
    <w:name w:val="header"/>
    <w:basedOn w:val="Normal"/>
    <w:link w:val="HeaderChar"/>
    <w:uiPriority w:val="99"/>
    <w:unhideWhenUsed/>
    <w:rsid w:val="00C37A29"/>
    <w:pPr>
      <w:tabs>
        <w:tab w:val="center" w:pos="4513"/>
        <w:tab w:val="right" w:pos="9026"/>
      </w:tabs>
    </w:pPr>
    <w:rPr>
      <w:rFonts w:asciiTheme="minorHAnsi" w:eastAsiaTheme="minorHAnsi" w:hAnsiTheme="minorHAnsi" w:cstheme="minorBidi"/>
      <w:sz w:val="20"/>
      <w:szCs w:val="22"/>
    </w:r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jc w:val="right"/>
    </w:pPr>
    <w:rPr>
      <w:rFonts w:asciiTheme="minorHAnsi" w:eastAsiaTheme="minorHAnsi" w:hAnsiTheme="minorHAnsi" w:cstheme="minorBidi"/>
      <w:color w:val="094183" w:themeColor="text2"/>
      <w:sz w:val="18"/>
      <w:szCs w:val="22"/>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B65DAA"/>
    <w:pPr>
      <w:numPr>
        <w:ilvl w:val="2"/>
        <w:numId w:val="13"/>
      </w:numPr>
      <w:spacing w:after="120"/>
      <w:contextualSpacing/>
    </w:pPr>
    <w:rPr>
      <w:rFonts w:asciiTheme="minorHAnsi" w:eastAsiaTheme="minorHAnsi" w:hAnsiTheme="minorHAnsi" w:cstheme="minorBidi"/>
      <w:sz w:val="20"/>
      <w:szCs w:val="22"/>
    </w:rPr>
  </w:style>
  <w:style w:type="paragraph" w:styleId="ListContinue2">
    <w:name w:val="List Continue 2"/>
    <w:basedOn w:val="Normal"/>
    <w:uiPriority w:val="99"/>
    <w:unhideWhenUsed/>
    <w:rsid w:val="004635FD"/>
    <w:pPr>
      <w:spacing w:after="120"/>
      <w:ind w:left="566"/>
      <w:contextualSpacing/>
    </w:pPr>
    <w:rPr>
      <w:rFonts w:asciiTheme="minorHAnsi" w:eastAsiaTheme="minorHAnsi" w:hAnsiTheme="minorHAnsi" w:cstheme="minorBidi"/>
      <w:sz w:val="20"/>
      <w:szCs w:val="22"/>
    </w:rPr>
  </w:style>
  <w:style w:type="paragraph" w:styleId="ListNumber3">
    <w:name w:val="List Number 3"/>
    <w:basedOn w:val="Normal"/>
    <w:uiPriority w:val="99"/>
    <w:unhideWhenUsed/>
    <w:qFormat/>
    <w:rsid w:val="007A0363"/>
    <w:pPr>
      <w:numPr>
        <w:ilvl w:val="2"/>
        <w:numId w:val="21"/>
      </w:numPr>
      <w:spacing w:after="120"/>
      <w:contextualSpacing/>
    </w:pPr>
    <w:rPr>
      <w:rFonts w:asciiTheme="minorHAnsi" w:eastAsiaTheme="minorHAnsi" w:hAnsiTheme="minorHAnsi" w:cstheme="minorBidi"/>
      <w:sz w:val="20"/>
      <w:szCs w:val="22"/>
    </w:rPr>
  </w:style>
  <w:style w:type="paragraph" w:styleId="ListNumber4">
    <w:name w:val="List Number 4"/>
    <w:basedOn w:val="Normal"/>
    <w:uiPriority w:val="99"/>
    <w:unhideWhenUsed/>
    <w:qFormat/>
    <w:rsid w:val="007A0363"/>
    <w:pPr>
      <w:numPr>
        <w:ilvl w:val="3"/>
        <w:numId w:val="21"/>
      </w:numPr>
      <w:spacing w:after="120"/>
      <w:contextualSpacing/>
    </w:pPr>
    <w:rPr>
      <w:rFonts w:asciiTheme="minorHAnsi" w:eastAsiaTheme="minorHAnsi" w:hAnsiTheme="minorHAnsi" w:cstheme="minorBidi"/>
      <w:sz w:val="20"/>
      <w:szCs w:val="22"/>
    </w:rPr>
  </w:style>
  <w:style w:type="paragraph" w:styleId="ListNumber5">
    <w:name w:val="List Number 5"/>
    <w:basedOn w:val="Normal"/>
    <w:uiPriority w:val="99"/>
    <w:unhideWhenUsed/>
    <w:rsid w:val="007A0363"/>
    <w:pPr>
      <w:numPr>
        <w:ilvl w:val="4"/>
        <w:numId w:val="21"/>
      </w:numPr>
      <w:spacing w:after="120"/>
      <w:contextualSpacing/>
    </w:pPr>
    <w:rPr>
      <w:rFonts w:asciiTheme="minorHAnsi" w:eastAsiaTheme="minorHAnsi" w:hAnsiTheme="minorHAnsi" w:cstheme="minorBidi"/>
      <w:sz w:val="20"/>
      <w:szCs w:val="22"/>
    </w:rPr>
  </w:style>
  <w:style w:type="paragraph" w:styleId="ListContinue">
    <w:name w:val="List Continue"/>
    <w:basedOn w:val="Normal"/>
    <w:uiPriority w:val="99"/>
    <w:unhideWhenUsed/>
    <w:rsid w:val="00B91D47"/>
    <w:pPr>
      <w:spacing w:after="120"/>
      <w:ind w:left="283"/>
      <w:contextualSpacing/>
    </w:pPr>
    <w:rPr>
      <w:rFonts w:asciiTheme="minorHAnsi" w:eastAsiaTheme="minorHAnsi" w:hAnsiTheme="minorHAnsi" w:cstheme="minorBidi"/>
      <w:sz w:val="20"/>
      <w:szCs w:val="22"/>
    </w:rPr>
  </w:style>
  <w:style w:type="paragraph" w:styleId="ListContinue3">
    <w:name w:val="List Continue 3"/>
    <w:basedOn w:val="Normal"/>
    <w:uiPriority w:val="99"/>
    <w:unhideWhenUsed/>
    <w:rsid w:val="00974677"/>
    <w:pPr>
      <w:spacing w:after="120"/>
      <w:ind w:left="849"/>
      <w:contextualSpacing/>
    </w:pPr>
    <w:rPr>
      <w:rFonts w:asciiTheme="minorHAnsi" w:eastAsiaTheme="minorHAnsi" w:hAnsiTheme="minorHAnsi" w:cstheme="minorBidi"/>
      <w:sz w:val="20"/>
      <w:szCs w:val="22"/>
    </w:rPr>
  </w:style>
  <w:style w:type="paragraph" w:styleId="ListContinue4">
    <w:name w:val="List Continue 4"/>
    <w:basedOn w:val="Normal"/>
    <w:uiPriority w:val="99"/>
    <w:unhideWhenUsed/>
    <w:rsid w:val="00974677"/>
    <w:pPr>
      <w:spacing w:after="120"/>
      <w:ind w:left="1132"/>
      <w:contextualSpacing/>
    </w:pPr>
    <w:rPr>
      <w:rFonts w:asciiTheme="minorHAnsi" w:eastAsiaTheme="minorHAnsi" w:hAnsiTheme="minorHAnsi" w:cstheme="minorBidi"/>
      <w:sz w:val="20"/>
      <w:szCs w:val="22"/>
    </w:rPr>
  </w:style>
  <w:style w:type="character" w:customStyle="1" w:styleId="Heading3Char">
    <w:name w:val="Heading 3 Char"/>
    <w:basedOn w:val="DefaultParagraphFont"/>
    <w:link w:val="Heading3"/>
    <w:uiPriority w:val="9"/>
    <w:rsid w:val="001250CD"/>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NumberedLists">
    <w:name w:val="Numbered Lists"/>
    <w:uiPriority w:val="99"/>
    <w:rsid w:val="0042339A"/>
    <w:pPr>
      <w:numPr>
        <w:numId w:val="22"/>
      </w:numPr>
    </w:pPr>
  </w:style>
  <w:style w:type="table" w:styleId="TableGrid">
    <w:name w:val="Table Grid"/>
    <w:basedOn w:val="TableNormal"/>
    <w:uiPriority w:val="39"/>
    <w:rsid w:val="00FB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next w:val="FooterBodytext"/>
    <w:qFormat/>
    <w:rsid w:val="00643D8B"/>
    <w:pPr>
      <w:spacing w:after="40"/>
    </w:pPr>
    <w:rPr>
      <w:rFonts w:asciiTheme="minorHAnsi" w:eastAsiaTheme="minorHAnsi" w:hAnsiTheme="minorHAnsi" w:cstheme="minorBidi"/>
      <w:b/>
      <w:color w:val="094183" w:themeColor="text2"/>
      <w:sz w:val="18"/>
      <w:szCs w:val="22"/>
    </w:rPr>
  </w:style>
  <w:style w:type="paragraph" w:customStyle="1" w:styleId="Footerlocation">
    <w:name w:val="Footer location"/>
    <w:basedOn w:val="Date"/>
    <w:qFormat/>
    <w:rsid w:val="00D87AD8"/>
    <w:pPr>
      <w:framePr w:w="9639" w:vSpace="567" w:wrap="around" w:hAnchor="margin" w:yAlign="bottom" w:anchorLock="1"/>
      <w:spacing w:after="0"/>
    </w:pPr>
    <w:rPr>
      <w:b/>
      <w:color w:val="094183" w:themeColor="text2"/>
      <w:sz w:val="18"/>
    </w:rPr>
  </w:style>
  <w:style w:type="paragraph" w:customStyle="1" w:styleId="FooterBodytext">
    <w:name w:val="Footer Body text"/>
    <w:qFormat/>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77685E"/>
    <w:pPr>
      <w:spacing w:after="0" w:line="240" w:lineRule="auto"/>
    </w:pPr>
    <w:tblPr>
      <w:tblBorders>
        <w:top w:val="single" w:sz="4" w:space="0" w:color="094183" w:themeColor="text2"/>
      </w:tblBorders>
      <w:tblCellMar>
        <w:top w:w="85" w:type="dxa"/>
        <w:left w:w="0" w:type="dxa"/>
        <w:right w:w="0" w:type="dxa"/>
      </w:tblCellMar>
    </w:tblPr>
  </w:style>
  <w:style w:type="paragraph" w:customStyle="1" w:styleId="FundedPartnerlogo">
    <w:name w:val="Funded Partner logo"/>
    <w:basedOn w:val="Normal"/>
    <w:qFormat/>
    <w:rsid w:val="00E532D3"/>
    <w:pPr>
      <w:framePr w:h="1599" w:hRule="exact" w:wrap="around" w:hAnchor="margin" w:xAlign="right" w:yAlign="top" w:anchorLock="1"/>
      <w:spacing w:after="120"/>
    </w:pPr>
    <w:rPr>
      <w:rFonts w:asciiTheme="minorHAnsi" w:eastAsiaTheme="minorHAnsi" w:hAnsiTheme="minorHAnsi" w:cstheme="minorBidi"/>
      <w:sz w:val="20"/>
      <w:szCs w:val="22"/>
    </w:rPr>
  </w:style>
  <w:style w:type="paragraph" w:customStyle="1" w:styleId="AUBodyCopy-withSpaceAfter">
    <w:name w:val="AU Body Copy - with Space After"/>
    <w:basedOn w:val="Normal"/>
    <w:rsid w:val="007C6806"/>
    <w:pPr>
      <w:overflowPunct w:val="0"/>
      <w:autoSpaceDE w:val="0"/>
      <w:autoSpaceDN w:val="0"/>
      <w:adjustRightInd w:val="0"/>
      <w:textAlignment w:val="baseline"/>
    </w:pPr>
    <w:rPr>
      <w:rFonts w:ascii="Arial Narrow" w:eastAsiaTheme="minorEastAsia" w:hAnsi="Arial Narrow"/>
      <w:szCs w:val="20"/>
    </w:rPr>
  </w:style>
  <w:style w:type="paragraph" w:customStyle="1" w:styleId="VCCCLetterBody">
    <w:name w:val="VCCC Letter Body"/>
    <w:uiPriority w:val="99"/>
    <w:rsid w:val="007C6806"/>
    <w:pPr>
      <w:suppressAutoHyphens/>
      <w:autoSpaceDE w:val="0"/>
      <w:autoSpaceDN w:val="0"/>
      <w:adjustRightInd w:val="0"/>
      <w:spacing w:after="0" w:line="280" w:lineRule="atLeast"/>
      <w:textAlignment w:val="center"/>
    </w:pPr>
    <w:rPr>
      <w:rFonts w:ascii="Lucida Sans" w:eastAsiaTheme="minorEastAsia" w:hAnsi="Lucida Sans" w:cs="LucidaSans"/>
      <w:color w:val="191919"/>
      <w:sz w:val="20"/>
      <w:szCs w:val="19"/>
    </w:rPr>
  </w:style>
  <w:style w:type="character" w:customStyle="1" w:styleId="Heading6Char">
    <w:name w:val="Heading 6 Char"/>
    <w:basedOn w:val="DefaultParagraphFont"/>
    <w:link w:val="Heading6"/>
    <w:uiPriority w:val="9"/>
    <w:rsid w:val="007C6806"/>
    <w:rPr>
      <w:rFonts w:asciiTheme="majorHAnsi" w:eastAsiaTheme="majorEastAsia" w:hAnsiTheme="majorHAnsi" w:cstheme="majorBidi"/>
      <w:color w:val="042041" w:themeColor="accent1" w:themeShade="7F"/>
      <w:sz w:val="20"/>
    </w:rPr>
  </w:style>
  <w:style w:type="character" w:styleId="CommentReference">
    <w:name w:val="annotation reference"/>
    <w:basedOn w:val="DefaultParagraphFont"/>
    <w:uiPriority w:val="99"/>
    <w:semiHidden/>
    <w:unhideWhenUsed/>
    <w:rsid w:val="000759E3"/>
    <w:rPr>
      <w:sz w:val="16"/>
      <w:szCs w:val="16"/>
    </w:rPr>
  </w:style>
  <w:style w:type="paragraph" w:styleId="CommentText">
    <w:name w:val="annotation text"/>
    <w:basedOn w:val="Normal"/>
    <w:link w:val="CommentTextChar"/>
    <w:uiPriority w:val="99"/>
    <w:semiHidden/>
    <w:unhideWhenUsed/>
    <w:rsid w:val="000759E3"/>
    <w:pPr>
      <w:spacing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759E3"/>
    <w:rPr>
      <w:sz w:val="20"/>
      <w:szCs w:val="20"/>
    </w:rPr>
  </w:style>
  <w:style w:type="paragraph" w:styleId="CommentSubject">
    <w:name w:val="annotation subject"/>
    <w:basedOn w:val="CommentText"/>
    <w:next w:val="CommentText"/>
    <w:link w:val="CommentSubjectChar"/>
    <w:uiPriority w:val="99"/>
    <w:semiHidden/>
    <w:unhideWhenUsed/>
    <w:rsid w:val="000759E3"/>
    <w:rPr>
      <w:b/>
      <w:bCs/>
    </w:rPr>
  </w:style>
  <w:style w:type="character" w:customStyle="1" w:styleId="CommentSubjectChar">
    <w:name w:val="Comment Subject Char"/>
    <w:basedOn w:val="CommentTextChar"/>
    <w:link w:val="CommentSubject"/>
    <w:uiPriority w:val="99"/>
    <w:semiHidden/>
    <w:rsid w:val="000759E3"/>
    <w:rPr>
      <w:b/>
      <w:bCs/>
      <w:sz w:val="20"/>
      <w:szCs w:val="20"/>
    </w:rPr>
  </w:style>
  <w:style w:type="paragraph" w:styleId="BalloonText">
    <w:name w:val="Balloon Text"/>
    <w:basedOn w:val="Normal"/>
    <w:link w:val="BalloonTextChar"/>
    <w:uiPriority w:val="99"/>
    <w:semiHidden/>
    <w:unhideWhenUsed/>
    <w:rsid w:val="000759E3"/>
    <w:rPr>
      <w:rFonts w:eastAsiaTheme="minorHAnsi"/>
      <w:sz w:val="18"/>
      <w:szCs w:val="18"/>
    </w:rPr>
  </w:style>
  <w:style w:type="character" w:customStyle="1" w:styleId="BalloonTextChar">
    <w:name w:val="Balloon Text Char"/>
    <w:basedOn w:val="DefaultParagraphFont"/>
    <w:link w:val="BalloonText"/>
    <w:uiPriority w:val="99"/>
    <w:semiHidden/>
    <w:rsid w:val="000759E3"/>
    <w:rPr>
      <w:rFonts w:ascii="Times New Roman" w:hAnsi="Times New Roman" w:cs="Times New Roman"/>
      <w:sz w:val="18"/>
      <w:szCs w:val="18"/>
    </w:rPr>
  </w:style>
  <w:style w:type="table" w:styleId="PlainTable4">
    <w:name w:val="Plain Table 4"/>
    <w:basedOn w:val="TableNormal"/>
    <w:uiPriority w:val="44"/>
    <w:rsid w:val="003B1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autoRedefine/>
    <w:rsid w:val="009A7917"/>
    <w:pPr>
      <w:spacing w:before="120" w:after="120" w:line="280" w:lineRule="exact"/>
    </w:pPr>
    <w:rPr>
      <w:rFonts w:ascii="Arial" w:eastAsiaTheme="minorHAnsi" w:hAnsi="Arial" w:cs="Arial"/>
      <w:sz w:val="22"/>
      <w:szCs w:val="22"/>
      <w:lang w:eastAsia="en-AU"/>
    </w:rPr>
  </w:style>
  <w:style w:type="character" w:customStyle="1" w:styleId="BodyTextChar">
    <w:name w:val="Body Text Char"/>
    <w:basedOn w:val="DefaultParagraphFont"/>
    <w:link w:val="BodyText"/>
    <w:rsid w:val="009A7917"/>
    <w:rPr>
      <w:rFonts w:ascii="Arial" w:hAnsi="Arial" w:cs="Arial"/>
      <w:lang w:eastAsia="en-AU"/>
    </w:rPr>
  </w:style>
  <w:style w:type="character" w:styleId="Hyperlink">
    <w:name w:val="Hyperlink"/>
    <w:rsid w:val="0010009E"/>
    <w:rPr>
      <w:color w:val="336699"/>
      <w:u w:val="none"/>
    </w:rPr>
  </w:style>
  <w:style w:type="paragraph" w:customStyle="1" w:styleId="Positionmetadata">
    <w:name w:val="Position metadata"/>
    <w:basedOn w:val="BodyText"/>
    <w:rsid w:val="0010009E"/>
    <w:rPr>
      <w:b/>
      <w:caps/>
      <w:color w:val="003366"/>
    </w:rPr>
  </w:style>
  <w:style w:type="paragraph" w:styleId="BodyTextIndent">
    <w:name w:val="Body Text Indent"/>
    <w:basedOn w:val="Normal"/>
    <w:link w:val="BodyTextIndentChar"/>
    <w:uiPriority w:val="99"/>
    <w:semiHidden/>
    <w:unhideWhenUsed/>
    <w:rsid w:val="00716DF2"/>
    <w:pPr>
      <w:spacing w:after="120"/>
      <w:ind w:left="283"/>
    </w:pPr>
    <w:rPr>
      <w:rFonts w:asciiTheme="minorHAnsi" w:eastAsiaTheme="minorHAnsi" w:hAnsiTheme="minorHAnsi" w:cstheme="minorBidi"/>
      <w:sz w:val="20"/>
      <w:szCs w:val="22"/>
    </w:rPr>
  </w:style>
  <w:style w:type="character" w:customStyle="1" w:styleId="BodyTextIndentChar">
    <w:name w:val="Body Text Indent Char"/>
    <w:basedOn w:val="DefaultParagraphFont"/>
    <w:link w:val="BodyTextIndent"/>
    <w:uiPriority w:val="99"/>
    <w:semiHidden/>
    <w:rsid w:val="00716DF2"/>
    <w:rPr>
      <w:sz w:val="20"/>
    </w:rPr>
  </w:style>
  <w:style w:type="character" w:styleId="UnresolvedMention">
    <w:name w:val="Unresolved Mention"/>
    <w:basedOn w:val="DefaultParagraphFont"/>
    <w:uiPriority w:val="99"/>
    <w:semiHidden/>
    <w:unhideWhenUsed/>
    <w:rsid w:val="001311AF"/>
    <w:rPr>
      <w:color w:val="605E5C"/>
      <w:shd w:val="clear" w:color="auto" w:fill="E1DFDD"/>
    </w:rPr>
  </w:style>
  <w:style w:type="paragraph" w:styleId="NormalWeb">
    <w:name w:val="Normal (Web)"/>
    <w:basedOn w:val="Normal"/>
    <w:uiPriority w:val="99"/>
    <w:semiHidden/>
    <w:unhideWhenUsed/>
    <w:rsid w:val="00A54D72"/>
    <w:pPr>
      <w:spacing w:after="1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58554">
      <w:bodyDiv w:val="1"/>
      <w:marLeft w:val="0"/>
      <w:marRight w:val="0"/>
      <w:marTop w:val="0"/>
      <w:marBottom w:val="0"/>
      <w:divBdr>
        <w:top w:val="none" w:sz="0" w:space="0" w:color="auto"/>
        <w:left w:val="none" w:sz="0" w:space="0" w:color="auto"/>
        <w:bottom w:val="none" w:sz="0" w:space="0" w:color="auto"/>
        <w:right w:val="none" w:sz="0" w:space="0" w:color="auto"/>
      </w:divBdr>
    </w:div>
    <w:div w:id="347954172">
      <w:bodyDiv w:val="1"/>
      <w:marLeft w:val="0"/>
      <w:marRight w:val="0"/>
      <w:marTop w:val="0"/>
      <w:marBottom w:val="0"/>
      <w:divBdr>
        <w:top w:val="none" w:sz="0" w:space="0" w:color="auto"/>
        <w:left w:val="none" w:sz="0" w:space="0" w:color="auto"/>
        <w:bottom w:val="none" w:sz="0" w:space="0" w:color="auto"/>
        <w:right w:val="none" w:sz="0" w:space="0" w:color="auto"/>
      </w:divBdr>
    </w:div>
    <w:div w:id="484513521">
      <w:bodyDiv w:val="1"/>
      <w:marLeft w:val="0"/>
      <w:marRight w:val="0"/>
      <w:marTop w:val="0"/>
      <w:marBottom w:val="0"/>
      <w:divBdr>
        <w:top w:val="none" w:sz="0" w:space="0" w:color="auto"/>
        <w:left w:val="none" w:sz="0" w:space="0" w:color="auto"/>
        <w:bottom w:val="none" w:sz="0" w:space="0" w:color="auto"/>
        <w:right w:val="none" w:sz="0" w:space="0" w:color="auto"/>
      </w:divBdr>
    </w:div>
    <w:div w:id="578095371">
      <w:bodyDiv w:val="1"/>
      <w:marLeft w:val="0"/>
      <w:marRight w:val="0"/>
      <w:marTop w:val="0"/>
      <w:marBottom w:val="0"/>
      <w:divBdr>
        <w:top w:val="none" w:sz="0" w:space="0" w:color="auto"/>
        <w:left w:val="none" w:sz="0" w:space="0" w:color="auto"/>
        <w:bottom w:val="none" w:sz="0" w:space="0" w:color="auto"/>
        <w:right w:val="none" w:sz="0" w:space="0" w:color="auto"/>
      </w:divBdr>
    </w:div>
    <w:div w:id="623655638">
      <w:bodyDiv w:val="1"/>
      <w:marLeft w:val="0"/>
      <w:marRight w:val="0"/>
      <w:marTop w:val="0"/>
      <w:marBottom w:val="0"/>
      <w:divBdr>
        <w:top w:val="none" w:sz="0" w:space="0" w:color="auto"/>
        <w:left w:val="none" w:sz="0" w:space="0" w:color="auto"/>
        <w:bottom w:val="none" w:sz="0" w:space="0" w:color="auto"/>
        <w:right w:val="none" w:sz="0" w:space="0" w:color="auto"/>
      </w:divBdr>
    </w:div>
    <w:div w:id="660038107">
      <w:bodyDiv w:val="1"/>
      <w:marLeft w:val="0"/>
      <w:marRight w:val="0"/>
      <w:marTop w:val="0"/>
      <w:marBottom w:val="0"/>
      <w:divBdr>
        <w:top w:val="none" w:sz="0" w:space="0" w:color="auto"/>
        <w:left w:val="none" w:sz="0" w:space="0" w:color="auto"/>
        <w:bottom w:val="none" w:sz="0" w:space="0" w:color="auto"/>
        <w:right w:val="none" w:sz="0" w:space="0" w:color="auto"/>
      </w:divBdr>
    </w:div>
    <w:div w:id="668481640">
      <w:bodyDiv w:val="1"/>
      <w:marLeft w:val="0"/>
      <w:marRight w:val="0"/>
      <w:marTop w:val="0"/>
      <w:marBottom w:val="0"/>
      <w:divBdr>
        <w:top w:val="none" w:sz="0" w:space="0" w:color="auto"/>
        <w:left w:val="none" w:sz="0" w:space="0" w:color="auto"/>
        <w:bottom w:val="none" w:sz="0" w:space="0" w:color="auto"/>
        <w:right w:val="none" w:sz="0" w:space="0" w:color="auto"/>
      </w:divBdr>
    </w:div>
    <w:div w:id="680548830">
      <w:bodyDiv w:val="1"/>
      <w:marLeft w:val="0"/>
      <w:marRight w:val="0"/>
      <w:marTop w:val="0"/>
      <w:marBottom w:val="0"/>
      <w:divBdr>
        <w:top w:val="none" w:sz="0" w:space="0" w:color="auto"/>
        <w:left w:val="none" w:sz="0" w:space="0" w:color="auto"/>
        <w:bottom w:val="none" w:sz="0" w:space="0" w:color="auto"/>
        <w:right w:val="none" w:sz="0" w:space="0" w:color="auto"/>
      </w:divBdr>
    </w:div>
    <w:div w:id="708070642">
      <w:bodyDiv w:val="1"/>
      <w:marLeft w:val="0"/>
      <w:marRight w:val="0"/>
      <w:marTop w:val="0"/>
      <w:marBottom w:val="0"/>
      <w:divBdr>
        <w:top w:val="none" w:sz="0" w:space="0" w:color="auto"/>
        <w:left w:val="none" w:sz="0" w:space="0" w:color="auto"/>
        <w:bottom w:val="none" w:sz="0" w:space="0" w:color="auto"/>
        <w:right w:val="none" w:sz="0" w:space="0" w:color="auto"/>
      </w:divBdr>
    </w:div>
    <w:div w:id="730882505">
      <w:bodyDiv w:val="1"/>
      <w:marLeft w:val="0"/>
      <w:marRight w:val="0"/>
      <w:marTop w:val="0"/>
      <w:marBottom w:val="0"/>
      <w:divBdr>
        <w:top w:val="none" w:sz="0" w:space="0" w:color="auto"/>
        <w:left w:val="none" w:sz="0" w:space="0" w:color="auto"/>
        <w:bottom w:val="none" w:sz="0" w:space="0" w:color="auto"/>
        <w:right w:val="none" w:sz="0" w:space="0" w:color="auto"/>
      </w:divBdr>
    </w:div>
    <w:div w:id="756368127">
      <w:bodyDiv w:val="1"/>
      <w:marLeft w:val="0"/>
      <w:marRight w:val="0"/>
      <w:marTop w:val="0"/>
      <w:marBottom w:val="0"/>
      <w:divBdr>
        <w:top w:val="none" w:sz="0" w:space="0" w:color="auto"/>
        <w:left w:val="none" w:sz="0" w:space="0" w:color="auto"/>
        <w:bottom w:val="none" w:sz="0" w:space="0" w:color="auto"/>
        <w:right w:val="none" w:sz="0" w:space="0" w:color="auto"/>
      </w:divBdr>
    </w:div>
    <w:div w:id="814294769">
      <w:bodyDiv w:val="1"/>
      <w:marLeft w:val="0"/>
      <w:marRight w:val="0"/>
      <w:marTop w:val="0"/>
      <w:marBottom w:val="0"/>
      <w:divBdr>
        <w:top w:val="none" w:sz="0" w:space="0" w:color="auto"/>
        <w:left w:val="none" w:sz="0" w:space="0" w:color="auto"/>
        <w:bottom w:val="none" w:sz="0" w:space="0" w:color="auto"/>
        <w:right w:val="none" w:sz="0" w:space="0" w:color="auto"/>
      </w:divBdr>
    </w:div>
    <w:div w:id="818233613">
      <w:bodyDiv w:val="1"/>
      <w:marLeft w:val="0"/>
      <w:marRight w:val="0"/>
      <w:marTop w:val="0"/>
      <w:marBottom w:val="0"/>
      <w:divBdr>
        <w:top w:val="none" w:sz="0" w:space="0" w:color="auto"/>
        <w:left w:val="none" w:sz="0" w:space="0" w:color="auto"/>
        <w:bottom w:val="none" w:sz="0" w:space="0" w:color="auto"/>
        <w:right w:val="none" w:sz="0" w:space="0" w:color="auto"/>
      </w:divBdr>
    </w:div>
    <w:div w:id="851921897">
      <w:bodyDiv w:val="1"/>
      <w:marLeft w:val="0"/>
      <w:marRight w:val="0"/>
      <w:marTop w:val="0"/>
      <w:marBottom w:val="0"/>
      <w:divBdr>
        <w:top w:val="none" w:sz="0" w:space="0" w:color="auto"/>
        <w:left w:val="none" w:sz="0" w:space="0" w:color="auto"/>
        <w:bottom w:val="none" w:sz="0" w:space="0" w:color="auto"/>
        <w:right w:val="none" w:sz="0" w:space="0" w:color="auto"/>
      </w:divBdr>
    </w:div>
    <w:div w:id="894582414">
      <w:bodyDiv w:val="1"/>
      <w:marLeft w:val="0"/>
      <w:marRight w:val="0"/>
      <w:marTop w:val="0"/>
      <w:marBottom w:val="0"/>
      <w:divBdr>
        <w:top w:val="none" w:sz="0" w:space="0" w:color="auto"/>
        <w:left w:val="none" w:sz="0" w:space="0" w:color="auto"/>
        <w:bottom w:val="none" w:sz="0" w:space="0" w:color="auto"/>
        <w:right w:val="none" w:sz="0" w:space="0" w:color="auto"/>
      </w:divBdr>
    </w:div>
    <w:div w:id="907348629">
      <w:bodyDiv w:val="1"/>
      <w:marLeft w:val="0"/>
      <w:marRight w:val="0"/>
      <w:marTop w:val="0"/>
      <w:marBottom w:val="0"/>
      <w:divBdr>
        <w:top w:val="none" w:sz="0" w:space="0" w:color="auto"/>
        <w:left w:val="none" w:sz="0" w:space="0" w:color="auto"/>
        <w:bottom w:val="none" w:sz="0" w:space="0" w:color="auto"/>
        <w:right w:val="none" w:sz="0" w:space="0" w:color="auto"/>
      </w:divBdr>
    </w:div>
    <w:div w:id="967392641">
      <w:bodyDiv w:val="1"/>
      <w:marLeft w:val="0"/>
      <w:marRight w:val="0"/>
      <w:marTop w:val="0"/>
      <w:marBottom w:val="0"/>
      <w:divBdr>
        <w:top w:val="none" w:sz="0" w:space="0" w:color="auto"/>
        <w:left w:val="none" w:sz="0" w:space="0" w:color="auto"/>
        <w:bottom w:val="none" w:sz="0" w:space="0" w:color="auto"/>
        <w:right w:val="none" w:sz="0" w:space="0" w:color="auto"/>
      </w:divBdr>
    </w:div>
    <w:div w:id="1000234534">
      <w:bodyDiv w:val="1"/>
      <w:marLeft w:val="0"/>
      <w:marRight w:val="0"/>
      <w:marTop w:val="0"/>
      <w:marBottom w:val="0"/>
      <w:divBdr>
        <w:top w:val="none" w:sz="0" w:space="0" w:color="auto"/>
        <w:left w:val="none" w:sz="0" w:space="0" w:color="auto"/>
        <w:bottom w:val="none" w:sz="0" w:space="0" w:color="auto"/>
        <w:right w:val="none" w:sz="0" w:space="0" w:color="auto"/>
      </w:divBdr>
    </w:div>
    <w:div w:id="1030760828">
      <w:bodyDiv w:val="1"/>
      <w:marLeft w:val="0"/>
      <w:marRight w:val="0"/>
      <w:marTop w:val="0"/>
      <w:marBottom w:val="0"/>
      <w:divBdr>
        <w:top w:val="none" w:sz="0" w:space="0" w:color="auto"/>
        <w:left w:val="none" w:sz="0" w:space="0" w:color="auto"/>
        <w:bottom w:val="none" w:sz="0" w:space="0" w:color="auto"/>
        <w:right w:val="none" w:sz="0" w:space="0" w:color="auto"/>
      </w:divBdr>
    </w:div>
    <w:div w:id="1067655355">
      <w:bodyDiv w:val="1"/>
      <w:marLeft w:val="0"/>
      <w:marRight w:val="0"/>
      <w:marTop w:val="0"/>
      <w:marBottom w:val="0"/>
      <w:divBdr>
        <w:top w:val="none" w:sz="0" w:space="0" w:color="auto"/>
        <w:left w:val="none" w:sz="0" w:space="0" w:color="auto"/>
        <w:bottom w:val="none" w:sz="0" w:space="0" w:color="auto"/>
        <w:right w:val="none" w:sz="0" w:space="0" w:color="auto"/>
      </w:divBdr>
    </w:div>
    <w:div w:id="1136725271">
      <w:bodyDiv w:val="1"/>
      <w:marLeft w:val="0"/>
      <w:marRight w:val="0"/>
      <w:marTop w:val="0"/>
      <w:marBottom w:val="0"/>
      <w:divBdr>
        <w:top w:val="none" w:sz="0" w:space="0" w:color="auto"/>
        <w:left w:val="none" w:sz="0" w:space="0" w:color="auto"/>
        <w:bottom w:val="none" w:sz="0" w:space="0" w:color="auto"/>
        <w:right w:val="none" w:sz="0" w:space="0" w:color="auto"/>
      </w:divBdr>
    </w:div>
    <w:div w:id="1137067200">
      <w:bodyDiv w:val="1"/>
      <w:marLeft w:val="0"/>
      <w:marRight w:val="0"/>
      <w:marTop w:val="0"/>
      <w:marBottom w:val="0"/>
      <w:divBdr>
        <w:top w:val="none" w:sz="0" w:space="0" w:color="auto"/>
        <w:left w:val="none" w:sz="0" w:space="0" w:color="auto"/>
        <w:bottom w:val="none" w:sz="0" w:space="0" w:color="auto"/>
        <w:right w:val="none" w:sz="0" w:space="0" w:color="auto"/>
      </w:divBdr>
    </w:div>
    <w:div w:id="1169755894">
      <w:bodyDiv w:val="1"/>
      <w:marLeft w:val="0"/>
      <w:marRight w:val="0"/>
      <w:marTop w:val="0"/>
      <w:marBottom w:val="0"/>
      <w:divBdr>
        <w:top w:val="none" w:sz="0" w:space="0" w:color="auto"/>
        <w:left w:val="none" w:sz="0" w:space="0" w:color="auto"/>
        <w:bottom w:val="none" w:sz="0" w:space="0" w:color="auto"/>
        <w:right w:val="none" w:sz="0" w:space="0" w:color="auto"/>
      </w:divBdr>
    </w:div>
    <w:div w:id="1188329480">
      <w:bodyDiv w:val="1"/>
      <w:marLeft w:val="0"/>
      <w:marRight w:val="0"/>
      <w:marTop w:val="0"/>
      <w:marBottom w:val="0"/>
      <w:divBdr>
        <w:top w:val="none" w:sz="0" w:space="0" w:color="auto"/>
        <w:left w:val="none" w:sz="0" w:space="0" w:color="auto"/>
        <w:bottom w:val="none" w:sz="0" w:space="0" w:color="auto"/>
        <w:right w:val="none" w:sz="0" w:space="0" w:color="auto"/>
      </w:divBdr>
    </w:div>
    <w:div w:id="1226256160">
      <w:bodyDiv w:val="1"/>
      <w:marLeft w:val="0"/>
      <w:marRight w:val="0"/>
      <w:marTop w:val="0"/>
      <w:marBottom w:val="0"/>
      <w:divBdr>
        <w:top w:val="none" w:sz="0" w:space="0" w:color="auto"/>
        <w:left w:val="none" w:sz="0" w:space="0" w:color="auto"/>
        <w:bottom w:val="none" w:sz="0" w:space="0" w:color="auto"/>
        <w:right w:val="none" w:sz="0" w:space="0" w:color="auto"/>
      </w:divBdr>
    </w:div>
    <w:div w:id="1352415704">
      <w:bodyDiv w:val="1"/>
      <w:marLeft w:val="0"/>
      <w:marRight w:val="0"/>
      <w:marTop w:val="0"/>
      <w:marBottom w:val="0"/>
      <w:divBdr>
        <w:top w:val="none" w:sz="0" w:space="0" w:color="auto"/>
        <w:left w:val="none" w:sz="0" w:space="0" w:color="auto"/>
        <w:bottom w:val="none" w:sz="0" w:space="0" w:color="auto"/>
        <w:right w:val="none" w:sz="0" w:space="0" w:color="auto"/>
      </w:divBdr>
    </w:div>
    <w:div w:id="1377393833">
      <w:bodyDiv w:val="1"/>
      <w:marLeft w:val="0"/>
      <w:marRight w:val="0"/>
      <w:marTop w:val="0"/>
      <w:marBottom w:val="0"/>
      <w:divBdr>
        <w:top w:val="none" w:sz="0" w:space="0" w:color="auto"/>
        <w:left w:val="none" w:sz="0" w:space="0" w:color="auto"/>
        <w:bottom w:val="none" w:sz="0" w:space="0" w:color="auto"/>
        <w:right w:val="none" w:sz="0" w:space="0" w:color="auto"/>
      </w:divBdr>
    </w:div>
    <w:div w:id="1569918003">
      <w:bodyDiv w:val="1"/>
      <w:marLeft w:val="0"/>
      <w:marRight w:val="0"/>
      <w:marTop w:val="0"/>
      <w:marBottom w:val="0"/>
      <w:divBdr>
        <w:top w:val="none" w:sz="0" w:space="0" w:color="auto"/>
        <w:left w:val="none" w:sz="0" w:space="0" w:color="auto"/>
        <w:bottom w:val="none" w:sz="0" w:space="0" w:color="auto"/>
        <w:right w:val="none" w:sz="0" w:space="0" w:color="auto"/>
      </w:divBdr>
    </w:div>
    <w:div w:id="1590387993">
      <w:bodyDiv w:val="1"/>
      <w:marLeft w:val="0"/>
      <w:marRight w:val="0"/>
      <w:marTop w:val="0"/>
      <w:marBottom w:val="0"/>
      <w:divBdr>
        <w:top w:val="none" w:sz="0" w:space="0" w:color="auto"/>
        <w:left w:val="none" w:sz="0" w:space="0" w:color="auto"/>
        <w:bottom w:val="none" w:sz="0" w:space="0" w:color="auto"/>
        <w:right w:val="none" w:sz="0" w:space="0" w:color="auto"/>
      </w:divBdr>
    </w:div>
    <w:div w:id="1756126744">
      <w:bodyDiv w:val="1"/>
      <w:marLeft w:val="0"/>
      <w:marRight w:val="0"/>
      <w:marTop w:val="0"/>
      <w:marBottom w:val="0"/>
      <w:divBdr>
        <w:top w:val="none" w:sz="0" w:space="0" w:color="auto"/>
        <w:left w:val="none" w:sz="0" w:space="0" w:color="auto"/>
        <w:bottom w:val="none" w:sz="0" w:space="0" w:color="auto"/>
        <w:right w:val="none" w:sz="0" w:space="0" w:color="auto"/>
      </w:divBdr>
    </w:div>
    <w:div w:id="1780639013">
      <w:bodyDiv w:val="1"/>
      <w:marLeft w:val="0"/>
      <w:marRight w:val="0"/>
      <w:marTop w:val="0"/>
      <w:marBottom w:val="0"/>
      <w:divBdr>
        <w:top w:val="none" w:sz="0" w:space="0" w:color="auto"/>
        <w:left w:val="none" w:sz="0" w:space="0" w:color="auto"/>
        <w:bottom w:val="none" w:sz="0" w:space="0" w:color="auto"/>
        <w:right w:val="none" w:sz="0" w:space="0" w:color="auto"/>
      </w:divBdr>
    </w:div>
    <w:div w:id="1921791893">
      <w:bodyDiv w:val="1"/>
      <w:marLeft w:val="0"/>
      <w:marRight w:val="0"/>
      <w:marTop w:val="0"/>
      <w:marBottom w:val="0"/>
      <w:divBdr>
        <w:top w:val="none" w:sz="0" w:space="0" w:color="auto"/>
        <w:left w:val="none" w:sz="0" w:space="0" w:color="auto"/>
        <w:bottom w:val="none" w:sz="0" w:space="0" w:color="auto"/>
        <w:right w:val="none" w:sz="0" w:space="0" w:color="auto"/>
      </w:divBdr>
    </w:div>
    <w:div w:id="20396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compcancerctr.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mdhs.unimelb.edu.au/umc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oM">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CEBFB31302D4D89E87D4F33607A3F" ma:contentTypeVersion="6" ma:contentTypeDescription="Create a new document." ma:contentTypeScope="" ma:versionID="c394f09b0297fb089e0d5650c8bcfbff">
  <xsd:schema xmlns:xsd="http://www.w3.org/2001/XMLSchema" xmlns:xs="http://www.w3.org/2001/XMLSchema" xmlns:p="http://schemas.microsoft.com/office/2006/metadata/properties" xmlns:ns2="5f634f5f-fde0-4e4f-8c6a-344c69d9ee33" targetNamespace="http://schemas.microsoft.com/office/2006/metadata/properties" ma:root="true" ma:fieldsID="65f7af3893aae811fe21cb997431cd0b" ns2:_="">
    <xsd:import namespace="5f634f5f-fde0-4e4f-8c6a-344c69d9e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34f5f-fde0-4e4f-8c6a-344c69d9e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6C346-AE17-43F0-9327-0164BE7A10E4}"/>
</file>

<file path=customXml/itemProps2.xml><?xml version="1.0" encoding="utf-8"?>
<ds:datastoreItem xmlns:ds="http://schemas.openxmlformats.org/officeDocument/2006/customXml" ds:itemID="{C317F92B-1F84-4847-AAB0-43E2B73F563B}"/>
</file>

<file path=customXml/itemProps3.xml><?xml version="1.0" encoding="utf-8"?>
<ds:datastoreItem xmlns:ds="http://schemas.openxmlformats.org/officeDocument/2006/customXml" ds:itemID="{C5B19720-4167-4D83-B81D-35166515EA6C}"/>
</file>

<file path=docProps/app.xml><?xml version="1.0" encoding="utf-8"?>
<Properties xmlns="http://schemas.openxmlformats.org/officeDocument/2006/extended-properties" xmlns:vt="http://schemas.openxmlformats.org/officeDocument/2006/docPropsVTypes">
  <Template>Normal.dotm</Template>
  <TotalTime>26</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Timplates 1</dc:creator>
  <cp:keywords/>
  <dc:description/>
  <cp:lastModifiedBy>Zoe Stephenson</cp:lastModifiedBy>
  <cp:revision>55</cp:revision>
  <cp:lastPrinted>2017-11-14T05:37:00Z</cp:lastPrinted>
  <dcterms:created xsi:type="dcterms:W3CDTF">2020-11-03T04:57:00Z</dcterms:created>
  <dcterms:modified xsi:type="dcterms:W3CDTF">2020-11-03T05:40:00Z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0x010100519CEBFB31302D4D89E87D4F33607A3F</vt:lpwstr>
  </property>
</Properties>
</file>